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5DE01972" w:rsidR="00FA20F7" w:rsidRPr="00077CF3" w:rsidRDefault="00752C50" w:rsidP="00FA20F7">
      <w:pPr>
        <w:pStyle w:val="3GPPHeader"/>
        <w:spacing w:after="0"/>
        <w:rPr>
          <w:rFonts w:ascii="Arial" w:hAnsi="Arial" w:cs="Arial"/>
          <w:szCs w:val="24"/>
          <w:lang w:val="en-US"/>
        </w:rPr>
      </w:pPr>
      <w:bookmarkStart w:id="0" w:name="_GoBack"/>
      <w:bookmarkEnd w:id="0"/>
      <w:r w:rsidRPr="00077CF3">
        <w:rPr>
          <w:rFonts w:ascii="Arial" w:hAnsi="Arial" w:cs="Arial"/>
          <w:lang w:val="en-US"/>
        </w:rPr>
        <w:t>3GPP TSG-RAN WG1 Meeting</w:t>
      </w:r>
      <w:r w:rsidR="00891D81">
        <w:rPr>
          <w:rFonts w:ascii="Arial" w:hAnsi="Arial" w:cs="Arial"/>
          <w:lang w:val="en-US"/>
        </w:rPr>
        <w:t xml:space="preserve"> #82</w:t>
      </w:r>
      <w:r w:rsidR="00A5095C">
        <w:rPr>
          <w:rFonts w:ascii="Arial" w:hAnsi="Arial" w:cs="Arial"/>
          <w:lang w:val="en-US"/>
        </w:rPr>
        <w:t>b</w:t>
      </w:r>
      <w:r w:rsidR="008929D6">
        <w:rPr>
          <w:rFonts w:ascii="Arial" w:hAnsi="Arial" w:cs="Arial"/>
          <w:lang w:val="en-US"/>
        </w:rPr>
        <w:t>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8929D6">
        <w:rPr>
          <w:rFonts w:ascii="Arial" w:hAnsi="Arial" w:cs="Arial"/>
          <w:szCs w:val="24"/>
          <w:lang w:val="en-US"/>
        </w:rPr>
        <w:t>5632</w:t>
      </w:r>
    </w:p>
    <w:p w14:paraId="231ECCBD" w14:textId="40CCB3B8" w:rsidR="00FA20F7" w:rsidRPr="00077CF3" w:rsidRDefault="00A5095C" w:rsidP="00FA20F7">
      <w:pPr>
        <w:pStyle w:val="3GPPHeader"/>
        <w:rPr>
          <w:rFonts w:ascii="Arial" w:hAnsi="Arial" w:cs="Arial"/>
          <w:lang w:val="en-US"/>
        </w:rPr>
      </w:pPr>
      <w:r>
        <w:rPr>
          <w:rFonts w:ascii="Arial" w:hAnsi="Arial" w:cs="Arial"/>
          <w:lang w:val="en-US"/>
        </w:rPr>
        <w:t>Malm</w:t>
      </w:r>
      <w:r w:rsidRPr="00A5095C">
        <w:rPr>
          <w:rFonts w:ascii="Arial" w:hAnsi="Arial" w:cs="Arial"/>
          <w:lang w:val="en-US"/>
        </w:rPr>
        <w:t>ö</w:t>
      </w:r>
      <w:r w:rsidR="00891D81">
        <w:rPr>
          <w:rFonts w:ascii="Arial" w:hAnsi="Arial" w:cs="Arial"/>
          <w:lang w:val="en-US"/>
        </w:rPr>
        <w:t xml:space="preserve">, </w:t>
      </w:r>
      <w:r>
        <w:rPr>
          <w:rFonts w:ascii="Arial" w:hAnsi="Arial" w:cs="Arial"/>
          <w:lang w:val="en-US"/>
        </w:rPr>
        <w:t>Sweden</w:t>
      </w:r>
      <w:r w:rsidR="00891D81">
        <w:rPr>
          <w:rFonts w:ascii="Arial" w:hAnsi="Arial" w:cs="Arial"/>
          <w:lang w:val="en-US"/>
        </w:rPr>
        <w:t xml:space="preserve">, </w:t>
      </w:r>
      <w:r>
        <w:rPr>
          <w:rFonts w:ascii="Arial" w:hAnsi="Arial" w:cs="Arial"/>
          <w:lang w:val="en-US"/>
        </w:rPr>
        <w:t>5</w:t>
      </w:r>
      <w:r w:rsidR="00891D81" w:rsidRPr="00891D81">
        <w:rPr>
          <w:rFonts w:ascii="Arial" w:hAnsi="Arial" w:cs="Arial"/>
          <w:vertAlign w:val="superscript"/>
          <w:lang w:val="en-US"/>
        </w:rPr>
        <w:t>th</w:t>
      </w:r>
      <w:r w:rsidR="00891D81">
        <w:rPr>
          <w:rFonts w:ascii="Arial" w:hAnsi="Arial" w:cs="Arial"/>
          <w:lang w:val="en-US"/>
        </w:rPr>
        <w:t xml:space="preserve"> – </w:t>
      </w:r>
      <w:r>
        <w:rPr>
          <w:rFonts w:ascii="Arial" w:hAnsi="Arial" w:cs="Arial"/>
          <w:lang w:val="en-US"/>
        </w:rPr>
        <w:t>9</w:t>
      </w:r>
      <w:r w:rsidR="00891D81" w:rsidRPr="00891D81">
        <w:rPr>
          <w:rFonts w:ascii="Arial" w:hAnsi="Arial" w:cs="Arial"/>
          <w:vertAlign w:val="superscript"/>
          <w:lang w:val="en-US"/>
        </w:rPr>
        <w:t>th</w:t>
      </w:r>
      <w:r w:rsidR="00891D81">
        <w:rPr>
          <w:rFonts w:ascii="Arial" w:hAnsi="Arial" w:cs="Arial"/>
          <w:lang w:val="en-US"/>
        </w:rPr>
        <w:t xml:space="preserve"> </w:t>
      </w:r>
      <w:r>
        <w:rPr>
          <w:rFonts w:ascii="Arial" w:hAnsi="Arial" w:cs="Arial"/>
          <w:lang w:val="en-US"/>
        </w:rPr>
        <w:t>October</w:t>
      </w:r>
      <w:r w:rsidR="00891D81">
        <w:rPr>
          <w:rFonts w:ascii="Arial" w:hAnsi="Arial" w:cs="Arial"/>
          <w:lang w:val="en-US"/>
        </w:rPr>
        <w:t xml:space="preserve"> 2015</w:t>
      </w:r>
    </w:p>
    <w:p w14:paraId="6FA141D4" w14:textId="60F189E5"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891D81">
        <w:rPr>
          <w:rFonts w:cs="Arial"/>
          <w:b/>
          <w:bCs/>
          <w:sz w:val="24"/>
          <w:lang w:val="en-US"/>
        </w:rPr>
        <w:t>7</w:t>
      </w:r>
      <w:r w:rsidR="00A5095C">
        <w:rPr>
          <w:rFonts w:cs="Arial"/>
          <w:b/>
          <w:bCs/>
          <w:sz w:val="24"/>
          <w:lang w:val="en-US"/>
        </w:rPr>
        <w:t>.2.8.2.1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222573A"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8929D6">
        <w:rPr>
          <w:rFonts w:ascii="Arial" w:hAnsi="Arial" w:cs="Arial"/>
          <w:b/>
          <w:bCs/>
          <w:sz w:val="24"/>
          <w:lang w:val="en-US"/>
        </w:rPr>
        <w:t>Resource Allocation for V2X reduced latency over PC5</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579FEF1F" w14:textId="270F3201" w:rsidR="00A85E98" w:rsidRDefault="005C1E34" w:rsidP="00A85E98">
      <w:pPr>
        <w:rPr>
          <w:sz w:val="20"/>
          <w:lang w:val="en-US"/>
        </w:rPr>
      </w:pPr>
      <w:r>
        <w:rPr>
          <w:sz w:val="20"/>
          <w:lang w:val="en-US"/>
        </w:rPr>
        <w:t>The fea</w:t>
      </w:r>
      <w:r w:rsidR="004D7445">
        <w:rPr>
          <w:sz w:val="20"/>
          <w:lang w:val="en-US"/>
        </w:rPr>
        <w:t>sibility study for LTE-based V2X</w:t>
      </w:r>
      <w:r>
        <w:rPr>
          <w:sz w:val="20"/>
          <w:lang w:val="en-US"/>
        </w:rPr>
        <w:t xml:space="preserve"> services </w:t>
      </w:r>
      <w:r w:rsidR="004D7445">
        <w:rPr>
          <w:sz w:val="20"/>
          <w:lang w:val="en-US"/>
        </w:rPr>
        <w:t xml:space="preserve">in its first phase prioritizes PC5 </w:t>
      </w:r>
      <w:r>
        <w:rPr>
          <w:sz w:val="20"/>
          <w:lang w:val="en-US"/>
        </w:rPr>
        <w:t xml:space="preserve">enhancements to meet </w:t>
      </w:r>
      <w:r w:rsidR="004D7445">
        <w:rPr>
          <w:sz w:val="20"/>
          <w:lang w:val="en-US"/>
        </w:rPr>
        <w:t>the V2X</w:t>
      </w:r>
      <w:r>
        <w:rPr>
          <w:sz w:val="20"/>
          <w:lang w:val="en-US"/>
        </w:rPr>
        <w:t xml:space="preserve"> </w:t>
      </w:r>
      <w:r w:rsidR="004D7445">
        <w:rPr>
          <w:sz w:val="20"/>
          <w:lang w:val="en-US"/>
        </w:rPr>
        <w:t xml:space="preserve">service </w:t>
      </w:r>
      <w:r>
        <w:rPr>
          <w:sz w:val="20"/>
          <w:lang w:val="en-US"/>
        </w:rPr>
        <w:t>requirements</w:t>
      </w:r>
      <w:r w:rsidR="004D7445">
        <w:rPr>
          <w:sz w:val="20"/>
          <w:lang w:val="en-US"/>
        </w:rPr>
        <w:t>,</w:t>
      </w:r>
    </w:p>
    <w:p w14:paraId="038A39FB" w14:textId="77777777" w:rsidR="005C1E34" w:rsidRPr="004D7445" w:rsidRDefault="005C1E34" w:rsidP="005C1E34">
      <w:pPr>
        <w:widowControl w:val="0"/>
        <w:numPr>
          <w:ilvl w:val="0"/>
          <w:numId w:val="44"/>
        </w:numPr>
        <w:overflowPunct/>
        <w:autoSpaceDE/>
        <w:autoSpaceDN/>
        <w:adjustRightInd/>
        <w:spacing w:line="256" w:lineRule="auto"/>
        <w:textAlignment w:val="auto"/>
        <w:rPr>
          <w:rFonts w:ascii="Times" w:hAnsi="Times" w:cs="Helvetica"/>
          <w:i/>
          <w:sz w:val="18"/>
          <w:lang w:val="en-US" w:eastAsia="en-US"/>
        </w:rPr>
      </w:pPr>
      <w:r w:rsidRPr="004D7445">
        <w:rPr>
          <w:rFonts w:ascii="Times" w:hAnsi="Times" w:cs="Helvetica"/>
          <w:i/>
          <w:sz w:val="18"/>
        </w:rPr>
        <w:t xml:space="preserve">For </w:t>
      </w:r>
      <w:r w:rsidRPr="004D7445">
        <w:rPr>
          <w:rFonts w:ascii="Times" w:hAnsi="Times" w:cs="Helvetica"/>
          <w:i/>
          <w:sz w:val="18"/>
          <w:lang w:eastAsia="ko-KR"/>
        </w:rPr>
        <w:t xml:space="preserve">support of PC5 transport for </w:t>
      </w:r>
      <w:r w:rsidRPr="004D7445">
        <w:rPr>
          <w:rFonts w:ascii="Times" w:hAnsi="Times" w:cs="Helvetica"/>
          <w:i/>
          <w:sz w:val="18"/>
        </w:rPr>
        <w:t xml:space="preserve">V2V </w:t>
      </w:r>
      <w:r w:rsidRPr="004D7445">
        <w:rPr>
          <w:rFonts w:ascii="Times" w:hAnsi="Times" w:cs="Helvetica"/>
          <w:i/>
          <w:sz w:val="18"/>
          <w:lang w:eastAsia="ko-KR"/>
        </w:rPr>
        <w:t>services</w:t>
      </w:r>
      <w:r w:rsidRPr="004D7445">
        <w:rPr>
          <w:rFonts w:ascii="Times" w:hAnsi="Times" w:cs="Helvetica"/>
          <w:i/>
          <w:sz w:val="18"/>
        </w:rPr>
        <w:t xml:space="preserve"> (to be completed by RAN#70 – December 2015)</w:t>
      </w:r>
      <w:r w:rsidRPr="004D7445">
        <w:rPr>
          <w:rFonts w:ascii="Times" w:hAnsi="Times" w:cs="Helvetica"/>
          <w:i/>
          <w:sz w:val="18"/>
          <w:lang w:eastAsia="ko-KR"/>
        </w:rPr>
        <w:t>, at least including</w:t>
      </w:r>
      <w:r w:rsidRPr="004D7445">
        <w:rPr>
          <w:rFonts w:ascii="Times" w:hAnsi="Times" w:cs="Helvetica"/>
          <w:i/>
          <w:sz w:val="18"/>
        </w:rPr>
        <w:t>:</w:t>
      </w:r>
    </w:p>
    <w:p w14:paraId="68DEF253" w14:textId="77777777" w:rsidR="005C1E34" w:rsidRPr="004D7445" w:rsidRDefault="005C1E34" w:rsidP="004D7445">
      <w:pPr>
        <w:widowControl w:val="0"/>
        <w:numPr>
          <w:ilvl w:val="1"/>
          <w:numId w:val="44"/>
        </w:numPr>
        <w:overflowPunct/>
        <w:autoSpaceDE/>
        <w:autoSpaceDN/>
        <w:adjustRightInd/>
        <w:spacing w:after="240" w:line="257" w:lineRule="auto"/>
        <w:textAlignment w:val="auto"/>
        <w:rPr>
          <w:rFonts w:ascii="Times" w:hAnsi="Times" w:cs="Helvetica"/>
          <w:i/>
          <w:sz w:val="18"/>
        </w:rPr>
      </w:pPr>
      <w:r w:rsidRPr="004D7445">
        <w:rPr>
          <w:rFonts w:ascii="Times" w:hAnsi="Times" w:cs="Helvetica"/>
          <w:i/>
          <w:sz w:val="18"/>
        </w:rPr>
        <w:t>Identify necessary enhancements (e.g. of potential enhancements: mitigate impact of half duplex constraint, reduce resource collision, enhance pool structure, enhance resource patterns, SA information transmitted in same subframe as the associated data) to the resource allocation mechanism to meet identified requirements for robustness, latency, overhead and capacity [RAN1]</w:t>
      </w:r>
    </w:p>
    <w:p w14:paraId="3D39CE8C" w14:textId="7A41CC0E" w:rsidR="005C1E34" w:rsidRPr="005C1E34" w:rsidRDefault="005C1E34" w:rsidP="00A85E98">
      <w:pPr>
        <w:rPr>
          <w:sz w:val="20"/>
        </w:rPr>
      </w:pPr>
      <w:r>
        <w:rPr>
          <w:sz w:val="20"/>
        </w:rPr>
        <w:t xml:space="preserve">In this contribution, we </w:t>
      </w:r>
      <w:r w:rsidR="004D7445">
        <w:rPr>
          <w:sz w:val="20"/>
        </w:rPr>
        <w:t xml:space="preserve">share our views regarding several radio design enhancements to be considered for LTE-based V2X. In particular, we </w:t>
      </w:r>
      <w:r>
        <w:rPr>
          <w:sz w:val="20"/>
        </w:rPr>
        <w:t xml:space="preserve">discuss </w:t>
      </w:r>
      <w:r w:rsidR="004D7445">
        <w:rPr>
          <w:sz w:val="20"/>
        </w:rPr>
        <w:t xml:space="preserve">improvements to resource allocation/selection </w:t>
      </w:r>
      <w:r>
        <w:rPr>
          <w:sz w:val="20"/>
        </w:rPr>
        <w:t>mechani</w:t>
      </w:r>
      <w:r w:rsidR="00831C6C">
        <w:rPr>
          <w:sz w:val="20"/>
        </w:rPr>
        <w:t xml:space="preserve">sms </w:t>
      </w:r>
      <w:r w:rsidR="004D7445">
        <w:rPr>
          <w:sz w:val="20"/>
        </w:rPr>
        <w:t xml:space="preserve">for V2X in order </w:t>
      </w:r>
      <w:r w:rsidR="00831C6C">
        <w:rPr>
          <w:sz w:val="20"/>
        </w:rPr>
        <w:t xml:space="preserve">to </w:t>
      </w:r>
      <w:r w:rsidR="004D7445">
        <w:rPr>
          <w:sz w:val="20"/>
        </w:rPr>
        <w:t>improve upon access and data transfer delays achievable with R12 D2D Communication Mode 2.</w:t>
      </w:r>
    </w:p>
    <w:p w14:paraId="632381F1" w14:textId="7310C5D5" w:rsidR="00F577F9" w:rsidRPr="00077CF3" w:rsidRDefault="00A5095C" w:rsidP="00F577F9">
      <w:pPr>
        <w:pStyle w:val="Heading1"/>
        <w:rPr>
          <w:lang w:val="en-US"/>
        </w:rPr>
      </w:pPr>
      <w:r>
        <w:rPr>
          <w:lang w:val="en-US"/>
        </w:rPr>
        <w:t>Discussion</w:t>
      </w:r>
    </w:p>
    <w:p w14:paraId="0EB32DD9" w14:textId="77777777" w:rsidR="0081032B" w:rsidRDefault="0081032B" w:rsidP="008C3C63">
      <w:pPr>
        <w:rPr>
          <w:sz w:val="20"/>
          <w:lang w:val="en-US" w:eastAsia="sv-SE"/>
        </w:rPr>
      </w:pPr>
      <w:r>
        <w:rPr>
          <w:sz w:val="20"/>
          <w:lang w:val="en-US" w:eastAsia="sv-SE"/>
        </w:rPr>
        <w:t>Resource allocation and selection for V2X over PC5 is significantly more demanding in terms of meeting access and data transfer delay requirements than what voice-centric design with R12 D2D can currently deliver.</w:t>
      </w:r>
    </w:p>
    <w:p w14:paraId="3C88BDCD" w14:textId="087CECF2" w:rsidR="0081032B" w:rsidRDefault="0081032B" w:rsidP="008C3C63">
      <w:pPr>
        <w:rPr>
          <w:sz w:val="20"/>
          <w:lang w:val="en-US" w:eastAsia="sv-SE"/>
        </w:rPr>
      </w:pPr>
      <w:r>
        <w:rPr>
          <w:sz w:val="20"/>
          <w:lang w:val="en-US" w:eastAsia="sv-SE"/>
        </w:rPr>
        <w:t>It is important to note that typical V2X data exchanges will comprise a mix of both periodic and event-triggered service data. Typical payload sizes will vary in the order of several tens to several hundreds of bytes even for the periodically transmitted situational-awareness messages transmitted by a single device. It can also be expected that traffic loads will vary widely due to quickly changing connectivity topology in presence of moving devices at high mobility.</w:t>
      </w:r>
    </w:p>
    <w:p w14:paraId="7D2469F5" w14:textId="6C019E64" w:rsidR="0081032B" w:rsidRDefault="0081032B" w:rsidP="008C3C63">
      <w:pPr>
        <w:rPr>
          <w:sz w:val="20"/>
          <w:lang w:val="en-US" w:eastAsia="sv-SE"/>
        </w:rPr>
      </w:pPr>
      <w:r>
        <w:rPr>
          <w:sz w:val="20"/>
          <w:lang w:val="en-US" w:eastAsia="sv-SE"/>
        </w:rPr>
        <w:t>Clearly, R12 D2D Communication provides a starting point for V2X design in R13 and R14. However, we see several changes will be needed to accommodate the significantly more stringent delay V2X requirements.</w:t>
      </w:r>
    </w:p>
    <w:p w14:paraId="70C24F80" w14:textId="490AA6CB" w:rsidR="00522C05" w:rsidRDefault="0081032B" w:rsidP="008C3C63">
      <w:pPr>
        <w:rPr>
          <w:sz w:val="20"/>
          <w:lang w:val="en-US" w:eastAsia="sv-SE"/>
        </w:rPr>
      </w:pPr>
      <w:r>
        <w:rPr>
          <w:sz w:val="20"/>
          <w:lang w:val="en-US" w:eastAsia="sv-SE"/>
        </w:rPr>
        <w:t>The fundamental principle of R</w:t>
      </w:r>
      <w:r w:rsidR="00D252D1">
        <w:rPr>
          <w:sz w:val="20"/>
          <w:lang w:val="en-US" w:eastAsia="sv-SE"/>
        </w:rPr>
        <w:t xml:space="preserve">12 D2D </w:t>
      </w:r>
      <w:r>
        <w:rPr>
          <w:sz w:val="20"/>
          <w:lang w:val="en-US" w:eastAsia="sv-SE"/>
        </w:rPr>
        <w:t>Communication is that</w:t>
      </w:r>
      <w:r w:rsidR="00D252D1">
        <w:rPr>
          <w:sz w:val="20"/>
          <w:lang w:val="en-US" w:eastAsia="sv-SE"/>
        </w:rPr>
        <w:t xml:space="preserve"> </w:t>
      </w:r>
      <w:r>
        <w:rPr>
          <w:sz w:val="20"/>
          <w:lang w:val="en-US" w:eastAsia="sv-SE"/>
        </w:rPr>
        <w:t xml:space="preserve">D2D </w:t>
      </w:r>
      <w:r w:rsidR="00D252D1">
        <w:rPr>
          <w:sz w:val="20"/>
          <w:lang w:val="en-US" w:eastAsia="sv-SE"/>
        </w:rPr>
        <w:t xml:space="preserve">UEs </w:t>
      </w:r>
      <w:r>
        <w:rPr>
          <w:sz w:val="20"/>
          <w:lang w:val="en-US" w:eastAsia="sv-SE"/>
        </w:rPr>
        <w:t xml:space="preserve">get </w:t>
      </w:r>
      <w:r w:rsidR="00522C05">
        <w:rPr>
          <w:sz w:val="20"/>
          <w:lang w:val="en-US" w:eastAsia="sv-SE"/>
        </w:rPr>
        <w:t xml:space="preserve">allocated </w:t>
      </w:r>
      <w:r>
        <w:rPr>
          <w:sz w:val="20"/>
          <w:lang w:val="en-US" w:eastAsia="sv-SE"/>
        </w:rPr>
        <w:t xml:space="preserve">(Mode 1) </w:t>
      </w:r>
      <w:r w:rsidR="00522C05">
        <w:rPr>
          <w:sz w:val="20"/>
          <w:lang w:val="en-US" w:eastAsia="sv-SE"/>
        </w:rPr>
        <w:t xml:space="preserve">or select </w:t>
      </w:r>
      <w:r>
        <w:rPr>
          <w:sz w:val="20"/>
          <w:lang w:val="en-US" w:eastAsia="sv-SE"/>
        </w:rPr>
        <w:t xml:space="preserve">by themselves </w:t>
      </w:r>
      <w:r w:rsidR="00522C05">
        <w:rPr>
          <w:sz w:val="20"/>
          <w:lang w:val="en-US" w:eastAsia="sv-SE"/>
        </w:rPr>
        <w:t xml:space="preserve">(Mode 2) </w:t>
      </w:r>
      <w:r>
        <w:rPr>
          <w:sz w:val="20"/>
          <w:lang w:val="en-US" w:eastAsia="sv-SE"/>
        </w:rPr>
        <w:t xml:space="preserve">radio </w:t>
      </w:r>
      <w:r w:rsidR="00D252D1">
        <w:rPr>
          <w:sz w:val="20"/>
          <w:lang w:val="en-US" w:eastAsia="sv-SE"/>
        </w:rPr>
        <w:t>resources for the duration of a</w:t>
      </w:r>
      <w:r w:rsidR="00522C05">
        <w:rPr>
          <w:sz w:val="20"/>
          <w:lang w:val="en-US" w:eastAsia="sv-SE"/>
        </w:rPr>
        <w:t>n entire</w:t>
      </w:r>
      <w:r w:rsidR="00D252D1">
        <w:rPr>
          <w:sz w:val="20"/>
          <w:lang w:val="en-US" w:eastAsia="sv-SE"/>
        </w:rPr>
        <w:t xml:space="preserve"> scheduling period</w:t>
      </w:r>
      <w:r>
        <w:rPr>
          <w:sz w:val="20"/>
          <w:lang w:val="en-US" w:eastAsia="sv-SE"/>
        </w:rPr>
        <w:t xml:space="preserve"> (SP). The SP </w:t>
      </w:r>
      <w:r w:rsidR="00D252D1">
        <w:rPr>
          <w:sz w:val="20"/>
          <w:lang w:val="en-US" w:eastAsia="sv-SE"/>
        </w:rPr>
        <w:t xml:space="preserve">may be configured in the range of </w:t>
      </w:r>
      <w:r w:rsidR="00522C05">
        <w:rPr>
          <w:sz w:val="20"/>
          <w:lang w:val="en-US" w:eastAsia="sv-SE"/>
        </w:rPr>
        <w:t>40ms to 320ms</w:t>
      </w:r>
      <w:r w:rsidR="00D252D1">
        <w:rPr>
          <w:sz w:val="20"/>
          <w:lang w:val="en-US" w:eastAsia="sv-SE"/>
        </w:rPr>
        <w:t>.</w:t>
      </w:r>
      <w:r>
        <w:rPr>
          <w:sz w:val="20"/>
          <w:lang w:val="en-US" w:eastAsia="sv-SE"/>
        </w:rPr>
        <w:t xml:space="preserve"> A single periodicity for a pool is configurable per carrier.</w:t>
      </w:r>
      <w:r w:rsidR="00ED6D7B">
        <w:rPr>
          <w:sz w:val="20"/>
          <w:lang w:val="en-US" w:eastAsia="sv-SE"/>
        </w:rPr>
        <w:t xml:space="preserve"> </w:t>
      </w:r>
      <w:r w:rsidR="00522C05">
        <w:rPr>
          <w:sz w:val="20"/>
          <w:lang w:val="en-US" w:eastAsia="sv-SE"/>
        </w:rPr>
        <w:t>As a result, a</w:t>
      </w:r>
      <w:r>
        <w:rPr>
          <w:sz w:val="20"/>
          <w:lang w:val="en-US" w:eastAsia="sv-SE"/>
        </w:rPr>
        <w:t>ny</w:t>
      </w:r>
      <w:r w:rsidR="00522C05">
        <w:rPr>
          <w:sz w:val="20"/>
          <w:lang w:val="en-US" w:eastAsia="sv-SE"/>
        </w:rPr>
        <w:t xml:space="preserve"> UE that has data in its buffer has to wait for the </w:t>
      </w:r>
      <w:r>
        <w:rPr>
          <w:sz w:val="20"/>
          <w:lang w:val="en-US" w:eastAsia="sv-SE"/>
        </w:rPr>
        <w:t xml:space="preserve">next occurring </w:t>
      </w:r>
      <w:r w:rsidR="00522C05">
        <w:rPr>
          <w:sz w:val="20"/>
          <w:lang w:val="en-US" w:eastAsia="sv-SE"/>
        </w:rPr>
        <w:t xml:space="preserve">start of </w:t>
      </w:r>
      <w:r>
        <w:rPr>
          <w:sz w:val="20"/>
          <w:lang w:val="en-US" w:eastAsia="sv-SE"/>
        </w:rPr>
        <w:t xml:space="preserve">a SP </w:t>
      </w:r>
      <w:r w:rsidR="00522C05">
        <w:rPr>
          <w:sz w:val="20"/>
          <w:lang w:val="en-US" w:eastAsia="sv-SE"/>
        </w:rPr>
        <w:t xml:space="preserve">in order to </w:t>
      </w:r>
      <w:r>
        <w:rPr>
          <w:sz w:val="20"/>
          <w:lang w:val="en-US" w:eastAsia="sv-SE"/>
        </w:rPr>
        <w:t xml:space="preserve">begin its </w:t>
      </w:r>
      <w:r w:rsidR="00ED6D7B">
        <w:rPr>
          <w:sz w:val="20"/>
          <w:lang w:val="en-US" w:eastAsia="sv-SE"/>
        </w:rPr>
        <w:t>transmission (Figure 1).</w:t>
      </w:r>
    </w:p>
    <w:p w14:paraId="0FFC558A" w14:textId="77777777" w:rsidR="007967DE" w:rsidRDefault="007967DE" w:rsidP="008C3C63">
      <w:pPr>
        <w:rPr>
          <w:sz w:val="20"/>
          <w:lang w:val="en-US" w:eastAsia="sv-SE"/>
        </w:rPr>
      </w:pPr>
    </w:p>
    <w:p w14:paraId="7D8134AB" w14:textId="3C835790" w:rsidR="00B75F62" w:rsidRDefault="00A02B54" w:rsidP="00B75F62">
      <w:pPr>
        <w:keepNext/>
        <w:jc w:val="center"/>
      </w:pPr>
      <w:r>
        <w:object w:dxaOrig="8985" w:dyaOrig="3870" w14:anchorId="7EAE7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5pt;height:128.4pt" o:ole="">
            <v:imagedata r:id="rId12" o:title=""/>
          </v:shape>
          <o:OLEObject Type="Embed" ProgID="Visio.Drawing.15" ShapeID="_x0000_i1025" DrawAspect="Content" ObjectID="_1504684733" r:id="rId13"/>
        </w:object>
      </w:r>
    </w:p>
    <w:p w14:paraId="248BB455" w14:textId="26C94E19" w:rsidR="00B75F62" w:rsidRDefault="00B75F62" w:rsidP="00B75F62">
      <w:pPr>
        <w:pStyle w:val="Caption"/>
        <w:rPr>
          <w:sz w:val="20"/>
          <w:lang w:val="en-US" w:eastAsia="sv-SE"/>
        </w:rPr>
      </w:pPr>
      <w:r>
        <w:t xml:space="preserve">Figure </w:t>
      </w:r>
      <w:r>
        <w:fldChar w:fldCharType="begin"/>
      </w:r>
      <w:r>
        <w:instrText xml:space="preserve"> SEQ Figure \* ARABIC </w:instrText>
      </w:r>
      <w:r>
        <w:fldChar w:fldCharType="separate"/>
      </w:r>
      <w:r>
        <w:rPr>
          <w:noProof/>
        </w:rPr>
        <w:t>1</w:t>
      </w:r>
      <w:r>
        <w:fldChar w:fldCharType="end"/>
      </w:r>
      <w:r w:rsidR="00ED6D7B">
        <w:t>: PC5 access delays when using R12 D2D scheduling periods</w:t>
      </w:r>
    </w:p>
    <w:p w14:paraId="028D6CF8" w14:textId="07EC4D21" w:rsidR="00233EA1" w:rsidRDefault="00ED6D7B" w:rsidP="00233EA1">
      <w:pPr>
        <w:rPr>
          <w:sz w:val="20"/>
          <w:lang w:val="en-US" w:eastAsia="sv-SE"/>
        </w:rPr>
      </w:pPr>
      <w:r>
        <w:rPr>
          <w:sz w:val="20"/>
          <w:lang w:val="en-US" w:eastAsia="sv-SE"/>
        </w:rPr>
        <w:lastRenderedPageBreak/>
        <w:t xml:space="preserve">The PC5 access delay is therefore directly proportional to the configurable SP </w:t>
      </w:r>
      <w:r w:rsidR="00CF6172">
        <w:rPr>
          <w:sz w:val="20"/>
          <w:lang w:val="en-US" w:eastAsia="sv-SE"/>
        </w:rPr>
        <w:t>durations</w:t>
      </w:r>
      <w:r>
        <w:rPr>
          <w:sz w:val="20"/>
          <w:lang w:val="en-US" w:eastAsia="sv-SE"/>
        </w:rPr>
        <w:t xml:space="preserve">. </w:t>
      </w:r>
      <w:r w:rsidR="00CF6172">
        <w:rPr>
          <w:sz w:val="20"/>
          <w:lang w:val="en-US" w:eastAsia="sv-SE"/>
        </w:rPr>
        <w:t>Access delays of the o</w:t>
      </w:r>
      <w:r>
        <w:rPr>
          <w:sz w:val="20"/>
          <w:lang w:val="en-US" w:eastAsia="sv-SE"/>
        </w:rPr>
        <w:t>rder of 100</w:t>
      </w:r>
      <w:r w:rsidR="00CF6172">
        <w:rPr>
          <w:sz w:val="20"/>
          <w:lang w:val="en-US" w:eastAsia="sv-SE"/>
        </w:rPr>
        <w:t xml:space="preserve"> m</w:t>
      </w:r>
      <w:r>
        <w:rPr>
          <w:sz w:val="20"/>
          <w:lang w:val="en-US" w:eastAsia="sv-SE"/>
        </w:rPr>
        <w:t xml:space="preserve">s are acceptable as far as PS voice requirements are concerned, but are clearly not acceptable with </w:t>
      </w:r>
      <w:r w:rsidR="00CF6172">
        <w:rPr>
          <w:sz w:val="20"/>
          <w:lang w:val="en-US" w:eastAsia="sv-SE"/>
        </w:rPr>
        <w:t>respect to</w:t>
      </w:r>
      <w:r>
        <w:rPr>
          <w:sz w:val="20"/>
          <w:lang w:val="en-US" w:eastAsia="sv-SE"/>
        </w:rPr>
        <w:t xml:space="preserve"> </w:t>
      </w:r>
      <w:r w:rsidR="00CF6172">
        <w:rPr>
          <w:sz w:val="20"/>
          <w:lang w:val="en-US" w:eastAsia="sv-SE"/>
        </w:rPr>
        <w:t xml:space="preserve">some of the </w:t>
      </w:r>
      <w:r>
        <w:rPr>
          <w:sz w:val="20"/>
          <w:lang w:val="en-US" w:eastAsia="sv-SE"/>
        </w:rPr>
        <w:t>V2X requirements.</w:t>
      </w:r>
      <w:r w:rsidR="00233EA1">
        <w:rPr>
          <w:sz w:val="20"/>
          <w:lang w:val="en-US" w:eastAsia="sv-SE"/>
        </w:rPr>
        <w:t xml:space="preserve"> Indeed, the most strict latency requirement for V2X is 20</w:t>
      </w:r>
      <w:r w:rsidR="003D0261">
        <w:rPr>
          <w:sz w:val="20"/>
          <w:lang w:val="en-US" w:eastAsia="sv-SE"/>
        </w:rPr>
        <w:t xml:space="preserve"> </w:t>
      </w:r>
      <w:r w:rsidR="00233EA1">
        <w:rPr>
          <w:sz w:val="20"/>
          <w:lang w:val="en-US" w:eastAsia="sv-SE"/>
        </w:rPr>
        <w:t>ms for the case of Pre-Crash Warning; most other requirements are in the range of 100</w:t>
      </w:r>
      <w:r w:rsidR="00CF6172">
        <w:rPr>
          <w:sz w:val="20"/>
          <w:lang w:val="en-US" w:eastAsia="sv-SE"/>
        </w:rPr>
        <w:t xml:space="preserve"> </w:t>
      </w:r>
      <w:r w:rsidR="00233EA1">
        <w:rPr>
          <w:sz w:val="20"/>
          <w:lang w:val="en-US" w:eastAsia="sv-SE"/>
        </w:rPr>
        <w:t xml:space="preserve">ms or more </w:t>
      </w:r>
      <w:r w:rsidR="00233EA1">
        <w:rPr>
          <w:sz w:val="20"/>
          <w:lang w:val="en-US" w:eastAsia="sv-SE"/>
        </w:rPr>
        <w:fldChar w:fldCharType="begin"/>
      </w:r>
      <w:r w:rsidR="00233EA1">
        <w:rPr>
          <w:sz w:val="20"/>
          <w:lang w:val="en-US" w:eastAsia="sv-SE"/>
        </w:rPr>
        <w:instrText xml:space="preserve"> REF _Ref430856867 \r \h </w:instrText>
      </w:r>
      <w:r w:rsidR="00233EA1">
        <w:rPr>
          <w:sz w:val="20"/>
          <w:lang w:val="en-US" w:eastAsia="sv-SE"/>
        </w:rPr>
      </w:r>
      <w:r w:rsidR="00233EA1">
        <w:rPr>
          <w:sz w:val="20"/>
          <w:lang w:val="en-US" w:eastAsia="sv-SE"/>
        </w:rPr>
        <w:fldChar w:fldCharType="separate"/>
      </w:r>
      <w:r w:rsidR="00233EA1">
        <w:rPr>
          <w:sz w:val="20"/>
          <w:lang w:val="en-US" w:eastAsia="sv-SE"/>
        </w:rPr>
        <w:t>[2]</w:t>
      </w:r>
      <w:r w:rsidR="00233EA1">
        <w:rPr>
          <w:sz w:val="20"/>
          <w:lang w:val="en-US" w:eastAsia="sv-SE"/>
        </w:rPr>
        <w:fldChar w:fldCharType="end"/>
      </w:r>
      <w:r w:rsidR="00233EA1">
        <w:rPr>
          <w:sz w:val="20"/>
          <w:lang w:val="en-US" w:eastAsia="sv-SE"/>
        </w:rPr>
        <w:t>.</w:t>
      </w:r>
    </w:p>
    <w:p w14:paraId="6FDCA843" w14:textId="77777777" w:rsidR="003D0261" w:rsidRDefault="00233EA1" w:rsidP="00233EA1">
      <w:pPr>
        <w:rPr>
          <w:sz w:val="20"/>
          <w:lang w:val="en-US" w:eastAsia="sv-SE"/>
        </w:rPr>
      </w:pPr>
      <w:r>
        <w:rPr>
          <w:sz w:val="20"/>
          <w:lang w:val="en-US" w:eastAsia="sv-SE"/>
        </w:rPr>
        <w:t xml:space="preserve">The total latency associated </w:t>
      </w:r>
      <w:r w:rsidR="003D0261">
        <w:rPr>
          <w:sz w:val="20"/>
          <w:lang w:val="en-US" w:eastAsia="sv-SE"/>
        </w:rPr>
        <w:t xml:space="preserve">with </w:t>
      </w:r>
      <w:r>
        <w:rPr>
          <w:sz w:val="20"/>
          <w:lang w:val="en-US" w:eastAsia="sv-SE"/>
        </w:rPr>
        <w:t>a given transmission consists of the sum of the wait time (</w:t>
      </w:r>
      <w:r>
        <w:rPr>
          <w:i/>
          <w:sz w:val="20"/>
          <w:lang w:val="en-US" w:eastAsia="sv-SE"/>
        </w:rPr>
        <w:t>T</w:t>
      </w:r>
      <w:r>
        <w:rPr>
          <w:sz w:val="20"/>
          <w:vertAlign w:val="subscript"/>
          <w:lang w:val="en-US" w:eastAsia="sv-SE"/>
        </w:rPr>
        <w:t>W</w:t>
      </w:r>
      <w:r>
        <w:rPr>
          <w:sz w:val="20"/>
          <w:lang w:val="en-US" w:eastAsia="sv-SE"/>
        </w:rPr>
        <w:t>)</w:t>
      </w:r>
      <w:r w:rsidR="00CF6172">
        <w:rPr>
          <w:sz w:val="20"/>
          <w:lang w:val="en-US" w:eastAsia="sv-SE"/>
        </w:rPr>
        <w:t xml:space="preserve"> </w:t>
      </w:r>
      <w:r>
        <w:rPr>
          <w:sz w:val="20"/>
          <w:lang w:val="en-US" w:eastAsia="sv-SE"/>
        </w:rPr>
        <w:t xml:space="preserve">and the required time </w:t>
      </w:r>
      <w:r w:rsidR="00CF6172">
        <w:rPr>
          <w:sz w:val="20"/>
          <w:lang w:val="en-US" w:eastAsia="sv-SE"/>
        </w:rPr>
        <w:t xml:space="preserve">to </w:t>
      </w:r>
      <w:r w:rsidR="003D0261">
        <w:rPr>
          <w:sz w:val="20"/>
          <w:lang w:val="en-US" w:eastAsia="sv-SE"/>
        </w:rPr>
        <w:t>carry out all transmissions.</w:t>
      </w:r>
    </w:p>
    <w:p w14:paraId="069A0DCF" w14:textId="666E713F" w:rsidR="00233EA1" w:rsidRDefault="00233EA1" w:rsidP="00233EA1">
      <w:pPr>
        <w:rPr>
          <w:sz w:val="20"/>
          <w:lang w:val="en-US" w:eastAsia="sv-SE"/>
        </w:rPr>
      </w:pPr>
      <w:r>
        <w:rPr>
          <w:sz w:val="20"/>
          <w:lang w:val="en-US" w:eastAsia="sv-SE"/>
        </w:rPr>
        <w:t xml:space="preserve">In the worst case, when </w:t>
      </w:r>
      <w:r>
        <w:rPr>
          <w:i/>
          <w:sz w:val="20"/>
          <w:lang w:val="en-US" w:eastAsia="sv-SE"/>
        </w:rPr>
        <w:t>T</w:t>
      </w:r>
      <w:r>
        <w:rPr>
          <w:sz w:val="20"/>
          <w:vertAlign w:val="subscript"/>
          <w:lang w:val="en-US" w:eastAsia="sv-SE"/>
        </w:rPr>
        <w:t>W</w:t>
      </w:r>
      <w:r>
        <w:rPr>
          <w:sz w:val="20"/>
          <w:lang w:val="en-US" w:eastAsia="sv-SE"/>
        </w:rPr>
        <w:t xml:space="preserve"> = </w:t>
      </w:r>
      <w:r>
        <w:rPr>
          <w:i/>
          <w:sz w:val="20"/>
          <w:lang w:val="en-US" w:eastAsia="sv-SE"/>
        </w:rPr>
        <w:t>T</w:t>
      </w:r>
      <w:r>
        <w:rPr>
          <w:sz w:val="20"/>
          <w:vertAlign w:val="subscript"/>
          <w:lang w:val="en-US" w:eastAsia="sv-SE"/>
        </w:rPr>
        <w:t>SP</w:t>
      </w:r>
      <w:r>
        <w:rPr>
          <w:sz w:val="20"/>
          <w:lang w:val="en-US" w:eastAsia="sv-SE"/>
        </w:rPr>
        <w:t xml:space="preserve"> and when all transmissions in the scheduling period </w:t>
      </w:r>
      <w:r w:rsidR="00767CB2">
        <w:rPr>
          <w:sz w:val="20"/>
          <w:lang w:val="en-US" w:eastAsia="sv-SE"/>
        </w:rPr>
        <w:t xml:space="preserve">are needed for the data to be received </w:t>
      </w:r>
      <w:r>
        <w:rPr>
          <w:sz w:val="20"/>
          <w:lang w:val="en-US" w:eastAsia="sv-SE"/>
        </w:rPr>
        <w:t xml:space="preserve">(assuming that all transmissions are completed during </w:t>
      </w:r>
      <w:r w:rsidR="003D0261">
        <w:rPr>
          <w:sz w:val="20"/>
          <w:lang w:val="en-US" w:eastAsia="sv-SE"/>
        </w:rPr>
        <w:t xml:space="preserve">one </w:t>
      </w:r>
      <w:r>
        <w:rPr>
          <w:sz w:val="20"/>
          <w:lang w:val="en-US" w:eastAsia="sv-SE"/>
        </w:rPr>
        <w:t xml:space="preserve">scheduling period), the total latency becomes </w:t>
      </w:r>
      <w:r>
        <w:rPr>
          <w:i/>
          <w:sz w:val="20"/>
          <w:lang w:val="en-US" w:eastAsia="sv-SE"/>
        </w:rPr>
        <w:t>T</w:t>
      </w:r>
      <w:r>
        <w:rPr>
          <w:sz w:val="20"/>
          <w:vertAlign w:val="subscript"/>
          <w:lang w:val="en-US" w:eastAsia="sv-SE"/>
        </w:rPr>
        <w:t>tot</w:t>
      </w:r>
      <w:r>
        <w:rPr>
          <w:sz w:val="20"/>
          <w:lang w:val="en-US" w:eastAsia="sv-SE"/>
        </w:rPr>
        <w:t xml:space="preserve"> = 2</w:t>
      </w:r>
      <w:r>
        <w:rPr>
          <w:i/>
          <w:sz w:val="20"/>
          <w:lang w:val="en-US" w:eastAsia="sv-SE"/>
        </w:rPr>
        <w:t>T</w:t>
      </w:r>
      <w:r>
        <w:rPr>
          <w:sz w:val="20"/>
          <w:vertAlign w:val="subscript"/>
          <w:lang w:val="en-US" w:eastAsia="sv-SE"/>
        </w:rPr>
        <w:t>SP</w:t>
      </w:r>
      <w:r w:rsidR="003D0261">
        <w:rPr>
          <w:sz w:val="20"/>
          <w:lang w:val="en-US" w:eastAsia="sv-SE"/>
        </w:rPr>
        <w:t xml:space="preserve">. </w:t>
      </w:r>
      <w:r>
        <w:rPr>
          <w:sz w:val="20"/>
          <w:lang w:val="en-US" w:eastAsia="sv-SE"/>
        </w:rPr>
        <w:t>Thus to achieve the 20ms latency requirement, a maximum scheduling period of 10</w:t>
      </w:r>
      <w:r w:rsidR="00767CB2">
        <w:rPr>
          <w:sz w:val="20"/>
          <w:lang w:val="en-US" w:eastAsia="sv-SE"/>
        </w:rPr>
        <w:t xml:space="preserve"> </w:t>
      </w:r>
      <w:r>
        <w:rPr>
          <w:sz w:val="20"/>
          <w:lang w:val="en-US" w:eastAsia="sv-SE"/>
        </w:rPr>
        <w:t xml:space="preserve">ms </w:t>
      </w:r>
      <w:r w:rsidR="00767CB2">
        <w:rPr>
          <w:sz w:val="20"/>
          <w:lang w:val="en-US" w:eastAsia="sv-SE"/>
        </w:rPr>
        <w:t>would need to</w:t>
      </w:r>
      <w:r>
        <w:rPr>
          <w:sz w:val="20"/>
          <w:lang w:val="en-US" w:eastAsia="sv-SE"/>
        </w:rPr>
        <w:t xml:space="preserve"> be configured. Note that the existing minimum scheduling period of 40</w:t>
      </w:r>
      <w:r w:rsidR="00767CB2">
        <w:rPr>
          <w:sz w:val="20"/>
          <w:lang w:val="en-US" w:eastAsia="sv-SE"/>
        </w:rPr>
        <w:t xml:space="preserve"> </w:t>
      </w:r>
      <w:r>
        <w:rPr>
          <w:sz w:val="20"/>
          <w:lang w:val="en-US" w:eastAsia="sv-SE"/>
        </w:rPr>
        <w:t xml:space="preserve">ms would allow meeting most of the latency requirements in </w:t>
      </w:r>
      <w:r>
        <w:rPr>
          <w:sz w:val="20"/>
          <w:lang w:val="en-US" w:eastAsia="sv-SE"/>
        </w:rPr>
        <w:fldChar w:fldCharType="begin"/>
      </w:r>
      <w:r>
        <w:rPr>
          <w:sz w:val="20"/>
          <w:lang w:val="en-US" w:eastAsia="sv-SE"/>
        </w:rPr>
        <w:instrText xml:space="preserve"> REF _Ref430856867 \r \h </w:instrText>
      </w:r>
      <w:r>
        <w:rPr>
          <w:sz w:val="20"/>
          <w:lang w:val="en-US" w:eastAsia="sv-SE"/>
        </w:rPr>
      </w:r>
      <w:r>
        <w:rPr>
          <w:sz w:val="20"/>
          <w:lang w:val="en-US" w:eastAsia="sv-SE"/>
        </w:rPr>
        <w:fldChar w:fldCharType="separate"/>
      </w:r>
      <w:r>
        <w:rPr>
          <w:sz w:val="20"/>
          <w:lang w:val="en-US" w:eastAsia="sv-SE"/>
        </w:rPr>
        <w:t>[2]</w:t>
      </w:r>
      <w:r>
        <w:rPr>
          <w:sz w:val="20"/>
          <w:lang w:val="en-US" w:eastAsia="sv-SE"/>
        </w:rPr>
        <w:fldChar w:fldCharType="end"/>
      </w:r>
      <w:r>
        <w:rPr>
          <w:sz w:val="20"/>
          <w:lang w:val="en-US" w:eastAsia="sv-SE"/>
        </w:rPr>
        <w:t xml:space="preserve"> (&lt;100ms).</w:t>
      </w:r>
    </w:p>
    <w:p w14:paraId="08E24F68" w14:textId="77777777" w:rsidR="003D0261" w:rsidRDefault="00522C05" w:rsidP="008C3C63">
      <w:pPr>
        <w:rPr>
          <w:sz w:val="20"/>
          <w:lang w:val="en-US" w:eastAsia="sv-SE"/>
        </w:rPr>
      </w:pPr>
      <w:r>
        <w:rPr>
          <w:sz w:val="20"/>
          <w:lang w:val="en-US" w:eastAsia="sv-SE"/>
        </w:rPr>
        <w:t xml:space="preserve">One solution to </w:t>
      </w:r>
      <w:r w:rsidR="00767CB2">
        <w:rPr>
          <w:sz w:val="20"/>
          <w:lang w:val="en-US" w:eastAsia="sv-SE"/>
        </w:rPr>
        <w:t xml:space="preserve">meet </w:t>
      </w:r>
      <w:r w:rsidR="00ED6D7B">
        <w:rPr>
          <w:sz w:val="20"/>
          <w:lang w:val="en-US" w:eastAsia="sv-SE"/>
        </w:rPr>
        <w:t xml:space="preserve">the </w:t>
      </w:r>
      <w:r w:rsidR="003D0261">
        <w:rPr>
          <w:sz w:val="20"/>
          <w:lang w:val="en-US" w:eastAsia="sv-SE"/>
        </w:rPr>
        <w:t>stringent</w:t>
      </w:r>
      <w:r w:rsidR="00767CB2">
        <w:rPr>
          <w:sz w:val="20"/>
          <w:lang w:val="en-US" w:eastAsia="sv-SE"/>
        </w:rPr>
        <w:t xml:space="preserve"> </w:t>
      </w:r>
      <w:r w:rsidR="00ED6D7B">
        <w:rPr>
          <w:sz w:val="20"/>
          <w:lang w:val="en-US" w:eastAsia="sv-SE"/>
        </w:rPr>
        <w:t xml:space="preserve">access </w:t>
      </w:r>
      <w:r>
        <w:rPr>
          <w:sz w:val="20"/>
          <w:lang w:val="en-US" w:eastAsia="sv-SE"/>
        </w:rPr>
        <w:t xml:space="preserve">latency </w:t>
      </w:r>
      <w:r w:rsidR="00767CB2">
        <w:rPr>
          <w:sz w:val="20"/>
          <w:lang w:val="en-US" w:eastAsia="sv-SE"/>
        </w:rPr>
        <w:t xml:space="preserve">requirement of V2X </w:t>
      </w:r>
      <w:r w:rsidR="00ED6D7B">
        <w:rPr>
          <w:sz w:val="20"/>
          <w:lang w:val="en-US" w:eastAsia="sv-SE"/>
        </w:rPr>
        <w:t xml:space="preserve">when using the R12 D2D scheduling period concept </w:t>
      </w:r>
      <w:r>
        <w:rPr>
          <w:sz w:val="20"/>
          <w:lang w:val="en-US" w:eastAsia="sv-SE"/>
        </w:rPr>
        <w:t>is</w:t>
      </w:r>
      <w:r w:rsidR="00233EA1">
        <w:rPr>
          <w:sz w:val="20"/>
          <w:lang w:val="en-US" w:eastAsia="sv-SE"/>
        </w:rPr>
        <w:t xml:space="preserve"> thus</w:t>
      </w:r>
      <w:r>
        <w:rPr>
          <w:sz w:val="20"/>
          <w:lang w:val="en-US" w:eastAsia="sv-SE"/>
        </w:rPr>
        <w:t xml:space="preserve"> to </w:t>
      </w:r>
      <w:r w:rsidR="00ED6D7B">
        <w:rPr>
          <w:sz w:val="20"/>
          <w:lang w:val="en-US" w:eastAsia="sv-SE"/>
        </w:rPr>
        <w:t xml:space="preserve">introduce additional, i.e. nominally </w:t>
      </w:r>
      <w:r>
        <w:rPr>
          <w:sz w:val="20"/>
          <w:lang w:val="en-US" w:eastAsia="sv-SE"/>
        </w:rPr>
        <w:t>shorter scheduling period</w:t>
      </w:r>
      <w:r w:rsidR="00ED6D7B">
        <w:rPr>
          <w:sz w:val="20"/>
          <w:lang w:val="en-US" w:eastAsia="sv-SE"/>
        </w:rPr>
        <w:t xml:space="preserve">s such as </w:t>
      </w:r>
      <w:r>
        <w:rPr>
          <w:sz w:val="20"/>
          <w:lang w:val="en-US" w:eastAsia="sv-SE"/>
        </w:rPr>
        <w:t>10</w:t>
      </w:r>
      <w:r w:rsidR="00ED6D7B">
        <w:rPr>
          <w:sz w:val="20"/>
          <w:lang w:val="en-US" w:eastAsia="sv-SE"/>
        </w:rPr>
        <w:t xml:space="preserve"> </w:t>
      </w:r>
      <w:r>
        <w:rPr>
          <w:sz w:val="20"/>
          <w:lang w:val="en-US" w:eastAsia="sv-SE"/>
        </w:rPr>
        <w:t>ms</w:t>
      </w:r>
      <w:r w:rsidR="00ED6D7B">
        <w:rPr>
          <w:sz w:val="20"/>
          <w:lang w:val="en-US" w:eastAsia="sv-SE"/>
        </w:rPr>
        <w:t>.</w:t>
      </w:r>
    </w:p>
    <w:p w14:paraId="52E7EC40" w14:textId="6D0CFD87" w:rsidR="00522C05" w:rsidRDefault="00767CB2" w:rsidP="008C3C63">
      <w:pPr>
        <w:rPr>
          <w:sz w:val="20"/>
          <w:lang w:val="en-US" w:eastAsia="sv-SE"/>
        </w:rPr>
      </w:pPr>
      <w:r>
        <w:rPr>
          <w:sz w:val="20"/>
          <w:lang w:val="en-US" w:eastAsia="sv-SE"/>
        </w:rPr>
        <w:t>However,</w:t>
      </w:r>
      <w:r w:rsidR="00ED6D7B">
        <w:rPr>
          <w:sz w:val="20"/>
          <w:lang w:val="en-US" w:eastAsia="sv-SE"/>
        </w:rPr>
        <w:t xml:space="preserve"> such an </w:t>
      </w:r>
      <w:r w:rsidR="005A33B1">
        <w:rPr>
          <w:sz w:val="20"/>
          <w:lang w:val="en-US" w:eastAsia="sv-SE"/>
        </w:rPr>
        <w:t xml:space="preserve">approach has </w:t>
      </w:r>
      <w:r>
        <w:rPr>
          <w:sz w:val="20"/>
          <w:lang w:val="en-US" w:eastAsia="sv-SE"/>
        </w:rPr>
        <w:t>shortcomings. A</w:t>
      </w:r>
      <w:r w:rsidR="00ED6D7B">
        <w:rPr>
          <w:sz w:val="20"/>
          <w:lang w:val="en-US" w:eastAsia="sv-SE"/>
        </w:rPr>
        <w:t xml:space="preserve">t most 10 subframes are available per 10 ms interval, a number of which must be occupied by SA for that pool. </w:t>
      </w:r>
      <w:r w:rsidR="00177553">
        <w:rPr>
          <w:sz w:val="20"/>
          <w:lang w:val="en-US" w:eastAsia="sv-SE"/>
        </w:rPr>
        <w:t xml:space="preserve">The SA overhead when compared to the available number of V2X </w:t>
      </w:r>
      <w:r w:rsidR="00177D5C">
        <w:rPr>
          <w:sz w:val="20"/>
          <w:lang w:val="en-US" w:eastAsia="sv-SE"/>
        </w:rPr>
        <w:t>d</w:t>
      </w:r>
      <w:r w:rsidR="00177553">
        <w:rPr>
          <w:sz w:val="20"/>
          <w:lang w:val="en-US" w:eastAsia="sv-SE"/>
        </w:rPr>
        <w:t xml:space="preserve">ata subframes in such short SPs would become a concern. </w:t>
      </w:r>
      <w:r w:rsidR="00ED6D7B">
        <w:rPr>
          <w:sz w:val="20"/>
          <w:lang w:val="en-US" w:eastAsia="sv-SE"/>
        </w:rPr>
        <w:t xml:space="preserve">The remaining few subframes for V2X </w:t>
      </w:r>
      <w:r w:rsidR="00177D5C">
        <w:rPr>
          <w:sz w:val="20"/>
          <w:lang w:val="en-US" w:eastAsia="sv-SE"/>
        </w:rPr>
        <w:t>d</w:t>
      </w:r>
      <w:r w:rsidR="00ED6D7B">
        <w:rPr>
          <w:sz w:val="20"/>
          <w:lang w:val="en-US" w:eastAsia="sv-SE"/>
        </w:rPr>
        <w:t>ata would suffer from a</w:t>
      </w:r>
      <w:r w:rsidR="00177553">
        <w:rPr>
          <w:sz w:val="20"/>
          <w:lang w:val="en-US" w:eastAsia="sv-SE"/>
        </w:rPr>
        <w:t xml:space="preserve"> very</w:t>
      </w:r>
      <w:r w:rsidR="00ED6D7B">
        <w:rPr>
          <w:sz w:val="20"/>
          <w:lang w:val="en-US" w:eastAsia="sv-SE"/>
        </w:rPr>
        <w:t xml:space="preserve"> limited number of total transmission </w:t>
      </w:r>
      <w:r w:rsidR="003D0261">
        <w:rPr>
          <w:sz w:val="20"/>
          <w:lang w:val="en-US" w:eastAsia="sv-SE"/>
        </w:rPr>
        <w:t>opportunities</w:t>
      </w:r>
      <w:r w:rsidR="00ED6D7B">
        <w:rPr>
          <w:sz w:val="20"/>
          <w:lang w:val="en-US" w:eastAsia="sv-SE"/>
        </w:rPr>
        <w:t xml:space="preserve"> limiting the achievable </w:t>
      </w:r>
      <w:r w:rsidR="00177553">
        <w:rPr>
          <w:sz w:val="20"/>
          <w:lang w:val="en-US" w:eastAsia="sv-SE"/>
        </w:rPr>
        <w:t>link budget. Even if support for a variable number of HARQ re-transmissions is introduced for a SP, the lack of time diversity for such short transmission periodicities</w:t>
      </w:r>
      <w:r>
        <w:rPr>
          <w:sz w:val="20"/>
          <w:lang w:val="en-US" w:eastAsia="sv-SE"/>
        </w:rPr>
        <w:t xml:space="preserve"> would compromise performance. In addition, </w:t>
      </w:r>
      <w:r w:rsidR="00C10DF0">
        <w:rPr>
          <w:sz w:val="20"/>
          <w:lang w:val="en-US" w:eastAsia="sv-SE"/>
        </w:rPr>
        <w:t>in the event that another V2X</w:t>
      </w:r>
      <w:r w:rsidR="00177553">
        <w:rPr>
          <w:sz w:val="20"/>
          <w:lang w:val="en-US" w:eastAsia="sv-SE"/>
        </w:rPr>
        <w:t xml:space="preserve"> </w:t>
      </w:r>
      <w:r w:rsidR="00662694">
        <w:rPr>
          <w:sz w:val="20"/>
          <w:lang w:val="en-US" w:eastAsia="sv-SE"/>
        </w:rPr>
        <w:t xml:space="preserve">UE </w:t>
      </w:r>
      <w:r w:rsidR="00C10DF0">
        <w:rPr>
          <w:sz w:val="20"/>
          <w:lang w:val="en-US" w:eastAsia="sv-SE"/>
        </w:rPr>
        <w:t>would select the same SP for its transmission, the increased probability of interference within the SP would further degrade performance for both transmissions.</w:t>
      </w:r>
      <w:r w:rsidR="00C10DF0" w:rsidDel="00C10DF0">
        <w:rPr>
          <w:sz w:val="20"/>
          <w:lang w:val="en-US" w:eastAsia="sv-SE"/>
        </w:rPr>
        <w:t xml:space="preserve"> </w:t>
      </w:r>
    </w:p>
    <w:p w14:paraId="58613E73" w14:textId="77777777" w:rsidR="005A33B1" w:rsidRDefault="005A33B1" w:rsidP="008C3C63">
      <w:pPr>
        <w:rPr>
          <w:sz w:val="20"/>
          <w:lang w:val="en-US" w:eastAsia="sv-SE"/>
        </w:rPr>
      </w:pPr>
    </w:p>
    <w:p w14:paraId="35E0CDB2" w14:textId="76C0C157" w:rsidR="00497BC4" w:rsidRPr="007967DE" w:rsidRDefault="007967DE" w:rsidP="007967DE">
      <w:pPr>
        <w:pStyle w:val="Heading2"/>
        <w:rPr>
          <w:lang w:val="en-US" w:eastAsia="sv-SE"/>
        </w:rPr>
      </w:pPr>
      <w:r>
        <w:rPr>
          <w:lang w:val="en-US" w:eastAsia="sv-SE"/>
        </w:rPr>
        <w:t xml:space="preserve">Staggering of </w:t>
      </w:r>
      <w:r w:rsidRPr="007967DE">
        <w:rPr>
          <w:lang w:val="en-US" w:eastAsia="sv-SE"/>
        </w:rPr>
        <w:t>V2X r</w:t>
      </w:r>
      <w:r w:rsidR="00497BC4" w:rsidRPr="007967DE">
        <w:rPr>
          <w:lang w:val="en-US" w:eastAsia="sv-SE"/>
        </w:rPr>
        <w:t xml:space="preserve">esource </w:t>
      </w:r>
      <w:r w:rsidRPr="007967DE">
        <w:rPr>
          <w:lang w:val="en-US" w:eastAsia="sv-SE"/>
        </w:rPr>
        <w:t>p</w:t>
      </w:r>
      <w:r w:rsidR="00497BC4" w:rsidRPr="007967DE">
        <w:rPr>
          <w:lang w:val="en-US" w:eastAsia="sv-SE"/>
        </w:rPr>
        <w:t>ools</w:t>
      </w:r>
      <w:r>
        <w:rPr>
          <w:lang w:val="en-US" w:eastAsia="sv-SE"/>
        </w:rPr>
        <w:t xml:space="preserve"> in time</w:t>
      </w:r>
    </w:p>
    <w:p w14:paraId="7A4E392C" w14:textId="35BF5023" w:rsidR="00177553" w:rsidRDefault="00231304" w:rsidP="008C3C63">
      <w:pPr>
        <w:rPr>
          <w:sz w:val="20"/>
          <w:lang w:val="en-US" w:eastAsia="sv-SE"/>
        </w:rPr>
      </w:pPr>
      <w:r>
        <w:rPr>
          <w:sz w:val="20"/>
          <w:lang w:val="en-US" w:eastAsia="sv-SE"/>
        </w:rPr>
        <w:t xml:space="preserve">One approach to </w:t>
      </w:r>
      <w:r w:rsidR="007967DE">
        <w:rPr>
          <w:sz w:val="20"/>
          <w:lang w:val="en-US" w:eastAsia="sv-SE"/>
        </w:rPr>
        <w:t xml:space="preserve">avoid the </w:t>
      </w:r>
      <w:r>
        <w:rPr>
          <w:sz w:val="20"/>
          <w:lang w:val="en-US" w:eastAsia="sv-SE"/>
        </w:rPr>
        <w:t>shortcoming</w:t>
      </w:r>
      <w:r w:rsidR="00177553">
        <w:rPr>
          <w:sz w:val="20"/>
          <w:lang w:val="en-US" w:eastAsia="sv-SE"/>
        </w:rPr>
        <w:t xml:space="preserve">s </w:t>
      </w:r>
      <w:r w:rsidR="007967DE">
        <w:rPr>
          <w:sz w:val="20"/>
          <w:lang w:val="en-US" w:eastAsia="sv-SE"/>
        </w:rPr>
        <w:t xml:space="preserve">when trying to use </w:t>
      </w:r>
      <w:r w:rsidR="00177553">
        <w:rPr>
          <w:sz w:val="20"/>
          <w:lang w:val="en-US" w:eastAsia="sv-SE"/>
        </w:rPr>
        <w:t>shorter scheduling periods</w:t>
      </w:r>
      <w:r>
        <w:rPr>
          <w:sz w:val="20"/>
          <w:lang w:val="en-US" w:eastAsia="sv-SE"/>
        </w:rPr>
        <w:t xml:space="preserve"> </w:t>
      </w:r>
      <w:r w:rsidR="007967DE">
        <w:rPr>
          <w:sz w:val="20"/>
          <w:lang w:val="en-US" w:eastAsia="sv-SE"/>
        </w:rPr>
        <w:t>re-using the R12 D2D principle</w:t>
      </w:r>
      <w:r w:rsidR="00D50B9E">
        <w:rPr>
          <w:sz w:val="20"/>
          <w:lang w:val="en-US" w:eastAsia="sv-SE"/>
        </w:rPr>
        <w:t xml:space="preserve">s </w:t>
      </w:r>
      <w:r>
        <w:rPr>
          <w:sz w:val="20"/>
          <w:lang w:val="en-US" w:eastAsia="sv-SE"/>
        </w:rPr>
        <w:t xml:space="preserve">is to </w:t>
      </w:r>
      <w:r w:rsidR="00177553">
        <w:rPr>
          <w:sz w:val="20"/>
          <w:lang w:val="en-US" w:eastAsia="sv-SE"/>
        </w:rPr>
        <w:t xml:space="preserve">consider a </w:t>
      </w:r>
      <w:r w:rsidR="00497BC4">
        <w:rPr>
          <w:sz w:val="20"/>
          <w:lang w:val="en-US" w:eastAsia="sv-SE"/>
        </w:rPr>
        <w:t>stagger</w:t>
      </w:r>
      <w:r w:rsidR="00177553">
        <w:rPr>
          <w:sz w:val="20"/>
          <w:lang w:val="en-US" w:eastAsia="sv-SE"/>
        </w:rPr>
        <w:t>ing of SA/Data</w:t>
      </w:r>
      <w:r w:rsidR="00497BC4">
        <w:rPr>
          <w:sz w:val="20"/>
          <w:lang w:val="en-US" w:eastAsia="sv-SE"/>
        </w:rPr>
        <w:t xml:space="preserve"> resource po</w:t>
      </w:r>
      <w:r w:rsidR="007967DE">
        <w:rPr>
          <w:sz w:val="20"/>
          <w:lang w:val="en-US" w:eastAsia="sv-SE"/>
        </w:rPr>
        <w:t>ols in time such that a UE does</w:t>
      </w:r>
      <w:r w:rsidR="00233EA1">
        <w:rPr>
          <w:sz w:val="20"/>
          <w:lang w:val="en-US" w:eastAsia="sv-SE"/>
        </w:rPr>
        <w:t xml:space="preserve"> </w:t>
      </w:r>
      <w:r w:rsidR="007967DE">
        <w:rPr>
          <w:sz w:val="20"/>
          <w:lang w:val="en-US" w:eastAsia="sv-SE"/>
        </w:rPr>
        <w:t>n</w:t>
      </w:r>
      <w:r w:rsidR="00233EA1">
        <w:rPr>
          <w:sz w:val="20"/>
          <w:lang w:val="en-US" w:eastAsia="sv-SE"/>
        </w:rPr>
        <w:t>o</w:t>
      </w:r>
      <w:r w:rsidR="00497BC4">
        <w:rPr>
          <w:sz w:val="20"/>
          <w:lang w:val="en-US" w:eastAsia="sv-SE"/>
        </w:rPr>
        <w:t>t have to wait for a long period of time before initiating tr</w:t>
      </w:r>
      <w:r w:rsidR="008F42EE">
        <w:rPr>
          <w:sz w:val="20"/>
          <w:lang w:val="en-US" w:eastAsia="sv-SE"/>
        </w:rPr>
        <w:t>a</w:t>
      </w:r>
      <w:r w:rsidR="00177553">
        <w:rPr>
          <w:sz w:val="20"/>
          <w:lang w:val="en-US" w:eastAsia="sv-SE"/>
        </w:rPr>
        <w:t xml:space="preserve">nsmission of the </w:t>
      </w:r>
      <w:r w:rsidR="00177D5C">
        <w:rPr>
          <w:sz w:val="20"/>
          <w:lang w:val="en-US" w:eastAsia="sv-SE"/>
        </w:rPr>
        <w:t xml:space="preserve">V2X </w:t>
      </w:r>
      <w:r w:rsidR="00177553">
        <w:rPr>
          <w:sz w:val="20"/>
          <w:lang w:val="en-US" w:eastAsia="sv-SE"/>
        </w:rPr>
        <w:t>data payload</w:t>
      </w:r>
      <w:r w:rsidR="00177D5C">
        <w:rPr>
          <w:sz w:val="20"/>
          <w:lang w:val="en-US" w:eastAsia="sv-SE"/>
        </w:rPr>
        <w:t xml:space="preserve"> (Figure 2)</w:t>
      </w:r>
      <w:r w:rsidR="00177553">
        <w:rPr>
          <w:sz w:val="20"/>
          <w:lang w:val="en-US" w:eastAsia="sv-SE"/>
        </w:rPr>
        <w:t>.</w:t>
      </w:r>
    </w:p>
    <w:p w14:paraId="7DEDF78F" w14:textId="5BB6EE0C" w:rsidR="00177D5C" w:rsidRDefault="00177D5C" w:rsidP="008C3C63">
      <w:pPr>
        <w:rPr>
          <w:sz w:val="20"/>
          <w:lang w:val="en-US" w:eastAsia="sv-SE"/>
        </w:rPr>
      </w:pPr>
      <w:r>
        <w:rPr>
          <w:sz w:val="20"/>
          <w:lang w:val="en-US" w:eastAsia="sv-SE"/>
        </w:rPr>
        <w:t>Multiple SA/Data resource pools with SP durations similar to R12 D2D are configured. However, the V2X resource pools will be configured with starting time offsets staggered sequentially in time such that the average access delay for random data arrival is reduced.</w:t>
      </w:r>
    </w:p>
    <w:p w14:paraId="746EE476" w14:textId="07721A65" w:rsidR="00177D5C" w:rsidRDefault="008F42EE" w:rsidP="00177D5C">
      <w:pPr>
        <w:rPr>
          <w:sz w:val="20"/>
          <w:lang w:val="en-US" w:eastAsia="sv-SE"/>
        </w:rPr>
      </w:pPr>
      <w:r>
        <w:rPr>
          <w:sz w:val="20"/>
          <w:lang w:val="en-US" w:eastAsia="sv-SE"/>
        </w:rPr>
        <w:t>The UE</w:t>
      </w:r>
      <w:r w:rsidR="00497BC4">
        <w:rPr>
          <w:sz w:val="20"/>
          <w:lang w:val="en-US" w:eastAsia="sv-SE"/>
        </w:rPr>
        <w:t xml:space="preserve"> </w:t>
      </w:r>
      <w:r>
        <w:rPr>
          <w:sz w:val="20"/>
          <w:lang w:val="en-US" w:eastAsia="sv-SE"/>
        </w:rPr>
        <w:t>selects</w:t>
      </w:r>
      <w:r w:rsidR="00497BC4">
        <w:rPr>
          <w:sz w:val="20"/>
          <w:lang w:val="en-US" w:eastAsia="sv-SE"/>
        </w:rPr>
        <w:t xml:space="preserve"> the next </w:t>
      </w:r>
      <w:r w:rsidR="00415495">
        <w:rPr>
          <w:sz w:val="20"/>
          <w:lang w:val="en-US" w:eastAsia="sv-SE"/>
        </w:rPr>
        <w:t xml:space="preserve">available </w:t>
      </w:r>
      <w:r w:rsidR="00177553">
        <w:rPr>
          <w:sz w:val="20"/>
          <w:lang w:val="en-US" w:eastAsia="sv-SE"/>
        </w:rPr>
        <w:t xml:space="preserve">SA/Data </w:t>
      </w:r>
      <w:r w:rsidR="00415495">
        <w:rPr>
          <w:sz w:val="20"/>
          <w:lang w:val="en-US" w:eastAsia="sv-SE"/>
        </w:rPr>
        <w:t>resource pool avail</w:t>
      </w:r>
      <w:r w:rsidR="00177D5C">
        <w:rPr>
          <w:sz w:val="20"/>
          <w:lang w:val="en-US" w:eastAsia="sv-SE"/>
        </w:rPr>
        <w:t>able based on the time offset (Figure 2). Here,</w:t>
      </w:r>
      <w:r w:rsidR="00A904A1">
        <w:rPr>
          <w:sz w:val="20"/>
          <w:lang w:val="en-US" w:eastAsia="sv-SE"/>
        </w:rPr>
        <w:t xml:space="preserve"> </w:t>
      </w:r>
      <w:r w:rsidR="00A904A1">
        <w:rPr>
          <w:rFonts w:ascii="Calibri" w:hAnsi="Calibri"/>
          <w:sz w:val="20"/>
          <w:lang w:val="en-US" w:eastAsia="sv-SE"/>
        </w:rPr>
        <w:t>∆</w:t>
      </w:r>
      <w:r w:rsidR="00A904A1">
        <w:rPr>
          <w:sz w:val="20"/>
          <w:lang w:val="en-US" w:eastAsia="sv-SE"/>
        </w:rPr>
        <w:t xml:space="preserve">T </w:t>
      </w:r>
      <w:r w:rsidR="00177D5C">
        <w:rPr>
          <w:sz w:val="20"/>
          <w:lang w:val="en-US" w:eastAsia="sv-SE"/>
        </w:rPr>
        <w:t>denotes the starting time-offset between different resource pools.</w:t>
      </w:r>
      <w:r w:rsidR="00A904A1">
        <w:rPr>
          <w:sz w:val="20"/>
          <w:lang w:val="en-US" w:eastAsia="sv-SE"/>
        </w:rPr>
        <w:t xml:space="preserve"> </w:t>
      </w:r>
      <w:r w:rsidR="00177D5C">
        <w:rPr>
          <w:sz w:val="20"/>
          <w:lang w:val="en-US" w:eastAsia="sv-SE"/>
        </w:rPr>
        <w:t xml:space="preserve">Note that </w:t>
      </w:r>
      <w:r>
        <w:rPr>
          <w:sz w:val="20"/>
          <w:lang w:val="en-US" w:eastAsia="sv-SE"/>
        </w:rPr>
        <w:t xml:space="preserve">the maximum time a UE </w:t>
      </w:r>
      <w:r w:rsidR="00177D5C">
        <w:rPr>
          <w:sz w:val="20"/>
          <w:lang w:val="en-US" w:eastAsia="sv-SE"/>
        </w:rPr>
        <w:t>must wait</w:t>
      </w:r>
      <w:r>
        <w:rPr>
          <w:sz w:val="20"/>
          <w:lang w:val="en-US" w:eastAsia="sv-SE"/>
        </w:rPr>
        <w:t xml:space="preserve"> before initiating </w:t>
      </w:r>
      <w:r w:rsidR="00177D5C">
        <w:rPr>
          <w:sz w:val="20"/>
          <w:lang w:val="en-US" w:eastAsia="sv-SE"/>
        </w:rPr>
        <w:t xml:space="preserve">its V2X </w:t>
      </w:r>
      <w:r>
        <w:rPr>
          <w:sz w:val="20"/>
          <w:lang w:val="en-US" w:eastAsia="sv-SE"/>
        </w:rPr>
        <w:t xml:space="preserve">data transmission </w:t>
      </w:r>
      <w:r w:rsidR="00177D5C">
        <w:rPr>
          <w:sz w:val="20"/>
          <w:lang w:val="en-US" w:eastAsia="sv-SE"/>
        </w:rPr>
        <w:t xml:space="preserve">also </w:t>
      </w:r>
      <w:r>
        <w:rPr>
          <w:sz w:val="20"/>
          <w:lang w:val="en-US" w:eastAsia="sv-SE"/>
        </w:rPr>
        <w:t xml:space="preserve">depends on the </w:t>
      </w:r>
      <w:r w:rsidR="00177D5C">
        <w:rPr>
          <w:sz w:val="20"/>
          <w:lang w:val="en-US" w:eastAsia="sv-SE"/>
        </w:rPr>
        <w:t xml:space="preserve">SP duration </w:t>
      </w:r>
      <w:r>
        <w:rPr>
          <w:sz w:val="20"/>
          <w:lang w:val="en-US" w:eastAsia="sv-SE"/>
        </w:rPr>
        <w:t xml:space="preserve">and the number of resource pools </w:t>
      </w:r>
      <w:r w:rsidR="00F47F0A" w:rsidRPr="00F47F0A">
        <w:rPr>
          <w:i/>
          <w:sz w:val="20"/>
          <w:lang w:val="en-US" w:eastAsia="sv-SE"/>
        </w:rPr>
        <w:t>N</w:t>
      </w:r>
      <w:r w:rsidR="00177D5C">
        <w:rPr>
          <w:sz w:val="20"/>
          <w:lang w:val="en-US" w:eastAsia="sv-SE"/>
        </w:rPr>
        <w:t xml:space="preserve">, i.e. </w:t>
      </w:r>
      <w:r w:rsidR="00F47F0A">
        <w:rPr>
          <w:rFonts w:ascii="Calibri" w:hAnsi="Calibri"/>
          <w:sz w:val="20"/>
          <w:lang w:val="en-US" w:eastAsia="sv-SE"/>
        </w:rPr>
        <w:t>∆</w:t>
      </w:r>
      <w:r w:rsidR="00F47F0A" w:rsidRPr="00F47F0A">
        <w:rPr>
          <w:i/>
          <w:sz w:val="20"/>
          <w:lang w:val="en-US" w:eastAsia="sv-SE"/>
        </w:rPr>
        <w:t>T</w:t>
      </w:r>
      <w:r w:rsidR="00F47F0A">
        <w:rPr>
          <w:sz w:val="20"/>
          <w:lang w:val="en-US" w:eastAsia="sv-SE"/>
        </w:rPr>
        <w:t xml:space="preserve">= </w:t>
      </w:r>
      <w:r w:rsidR="0011260F" w:rsidRPr="00E06DA3">
        <w:rPr>
          <w:i/>
          <w:sz w:val="20"/>
          <w:lang w:val="en-US" w:eastAsia="sv-SE"/>
        </w:rPr>
        <w:t>T</w:t>
      </w:r>
      <w:r w:rsidR="00F47F0A" w:rsidRPr="00E06DA3">
        <w:rPr>
          <w:sz w:val="20"/>
          <w:vertAlign w:val="subscript"/>
          <w:lang w:val="en-US" w:eastAsia="sv-SE"/>
        </w:rPr>
        <w:t>SP</w:t>
      </w:r>
      <w:r w:rsidR="00F47F0A">
        <w:rPr>
          <w:sz w:val="20"/>
          <w:lang w:val="en-US" w:eastAsia="sv-SE"/>
        </w:rPr>
        <w:t>/</w:t>
      </w:r>
      <w:r w:rsidR="00F47F0A" w:rsidRPr="00F47F0A">
        <w:rPr>
          <w:i/>
          <w:sz w:val="20"/>
          <w:lang w:val="en-US" w:eastAsia="sv-SE"/>
        </w:rPr>
        <w:t>N</w:t>
      </w:r>
      <w:r w:rsidR="00177D5C">
        <w:rPr>
          <w:sz w:val="20"/>
          <w:lang w:val="en-US" w:eastAsia="sv-SE"/>
        </w:rPr>
        <w:t xml:space="preserve">. For example, configuring 10 V2X resources pools with </w:t>
      </w:r>
      <w:r w:rsidR="0011260F" w:rsidRPr="00DE4C8B">
        <w:rPr>
          <w:i/>
          <w:sz w:val="20"/>
          <w:lang w:val="en-US" w:eastAsia="sv-SE"/>
        </w:rPr>
        <w:t>T</w:t>
      </w:r>
      <w:r w:rsidR="0011260F" w:rsidRPr="00DE4C8B">
        <w:rPr>
          <w:sz w:val="20"/>
          <w:vertAlign w:val="subscript"/>
          <w:lang w:val="en-US" w:eastAsia="sv-SE"/>
        </w:rPr>
        <w:t>SP</w:t>
      </w:r>
      <w:r w:rsidR="0011260F">
        <w:rPr>
          <w:sz w:val="20"/>
          <w:lang w:val="en-US" w:eastAsia="sv-SE"/>
        </w:rPr>
        <w:t xml:space="preserve"> = </w:t>
      </w:r>
      <w:r w:rsidR="00177D5C">
        <w:rPr>
          <w:sz w:val="20"/>
          <w:lang w:val="en-US" w:eastAsia="sv-SE"/>
        </w:rPr>
        <w:t xml:space="preserve">40 ms each reduces the </w:t>
      </w:r>
      <w:r w:rsidR="00177D5C" w:rsidRPr="00177D5C">
        <w:rPr>
          <w:sz w:val="20"/>
          <w:lang w:val="en-US" w:eastAsia="sv-SE"/>
        </w:rPr>
        <w:t>average</w:t>
      </w:r>
      <w:r w:rsidR="00177D5C">
        <w:rPr>
          <w:sz w:val="20"/>
          <w:lang w:val="en-US" w:eastAsia="sv-SE"/>
        </w:rPr>
        <w:t xml:space="preserve"> latency before the start of a scheduling period from 20 ms (R12 D2D) to 2 ms (for V2X).</w:t>
      </w:r>
    </w:p>
    <w:p w14:paraId="5D2E5EE9" w14:textId="77777777" w:rsidR="003D0261" w:rsidRDefault="005D074B" w:rsidP="0011260F">
      <w:pPr>
        <w:rPr>
          <w:sz w:val="20"/>
          <w:lang w:val="en-US" w:eastAsia="sv-SE"/>
        </w:rPr>
      </w:pPr>
      <w:r>
        <w:rPr>
          <w:sz w:val="20"/>
          <w:lang w:val="en-US" w:eastAsia="sv-SE"/>
        </w:rPr>
        <w:t>One important benefit of</w:t>
      </w:r>
      <w:r w:rsidR="0011260F">
        <w:rPr>
          <w:sz w:val="20"/>
          <w:lang w:val="en-US" w:eastAsia="sv-SE"/>
        </w:rPr>
        <w:t xml:space="preserve"> this approach </w:t>
      </w:r>
      <w:r>
        <w:rPr>
          <w:sz w:val="20"/>
          <w:lang w:val="en-US" w:eastAsia="sv-SE"/>
        </w:rPr>
        <w:t xml:space="preserve">is that </w:t>
      </w:r>
      <w:r w:rsidR="0011260F">
        <w:rPr>
          <w:sz w:val="20"/>
          <w:lang w:val="en-US" w:eastAsia="sv-SE"/>
        </w:rPr>
        <w:t xml:space="preserve">the scheduling period can be much longer for the same latency requirement. </w:t>
      </w:r>
      <w:r w:rsidR="00A50E44">
        <w:rPr>
          <w:sz w:val="20"/>
          <w:lang w:val="en-US" w:eastAsia="sv-SE"/>
        </w:rPr>
        <w:t>It can be</w:t>
      </w:r>
      <w:r w:rsidR="0011260F">
        <w:rPr>
          <w:sz w:val="20"/>
          <w:lang w:val="en-US" w:eastAsia="sv-SE"/>
        </w:rPr>
        <w:t xml:space="preserve"> observed that the maximum time a UE waits before initiating data transmission (</w:t>
      </w:r>
      <w:r w:rsidR="0011260F">
        <w:rPr>
          <w:rFonts w:ascii="Calibri" w:hAnsi="Calibri"/>
          <w:sz w:val="20"/>
          <w:lang w:val="en-US" w:eastAsia="sv-SE"/>
        </w:rPr>
        <w:t>∆</w:t>
      </w:r>
      <w:r w:rsidR="0011260F">
        <w:rPr>
          <w:i/>
          <w:sz w:val="20"/>
          <w:lang w:val="en-US" w:eastAsia="sv-SE"/>
        </w:rPr>
        <w:t>T</w:t>
      </w:r>
      <w:r w:rsidR="0011260F">
        <w:rPr>
          <w:sz w:val="20"/>
          <w:lang w:val="en-US" w:eastAsia="sv-SE"/>
        </w:rPr>
        <w:t>) depends on the scheduling period and the number of resource pools (</w:t>
      </w:r>
      <w:r w:rsidR="0011260F">
        <w:rPr>
          <w:i/>
          <w:sz w:val="20"/>
          <w:lang w:val="en-US" w:eastAsia="sv-SE"/>
        </w:rPr>
        <w:t>N</w:t>
      </w:r>
      <w:r w:rsidR="0011260F">
        <w:rPr>
          <w:sz w:val="20"/>
          <w:lang w:val="en-US" w:eastAsia="sv-SE"/>
        </w:rPr>
        <w:t xml:space="preserve">) that are staggered in time. It can be seen that </w:t>
      </w:r>
      <w:r w:rsidR="0011260F">
        <w:rPr>
          <w:rFonts w:ascii="Calibri" w:hAnsi="Calibri"/>
          <w:sz w:val="20"/>
          <w:lang w:val="en-US" w:eastAsia="sv-SE"/>
        </w:rPr>
        <w:t>∆</w:t>
      </w:r>
      <w:r w:rsidR="0011260F">
        <w:rPr>
          <w:i/>
          <w:sz w:val="20"/>
          <w:lang w:val="en-US" w:eastAsia="sv-SE"/>
        </w:rPr>
        <w:t>T</w:t>
      </w:r>
      <w:r w:rsidR="0011260F">
        <w:rPr>
          <w:sz w:val="20"/>
          <w:lang w:val="en-US" w:eastAsia="sv-SE"/>
        </w:rPr>
        <w:t xml:space="preserve">= </w:t>
      </w:r>
      <w:r w:rsidR="0011260F">
        <w:rPr>
          <w:i/>
          <w:sz w:val="20"/>
          <w:lang w:val="en-US" w:eastAsia="sv-SE"/>
        </w:rPr>
        <w:t>T</w:t>
      </w:r>
      <w:r w:rsidR="0011260F">
        <w:rPr>
          <w:sz w:val="20"/>
          <w:vertAlign w:val="subscript"/>
          <w:lang w:val="en-US" w:eastAsia="sv-SE"/>
        </w:rPr>
        <w:t>SP</w:t>
      </w:r>
      <w:r w:rsidR="0011260F">
        <w:rPr>
          <w:sz w:val="20"/>
          <w:lang w:val="en-US" w:eastAsia="sv-SE"/>
        </w:rPr>
        <w:t xml:space="preserve"> / </w:t>
      </w:r>
      <w:r w:rsidR="0011260F">
        <w:rPr>
          <w:i/>
          <w:sz w:val="20"/>
          <w:lang w:val="en-US" w:eastAsia="sv-SE"/>
        </w:rPr>
        <w:t>N</w:t>
      </w:r>
      <w:r w:rsidR="0011260F">
        <w:rPr>
          <w:sz w:val="20"/>
          <w:lang w:val="en-US" w:eastAsia="sv-SE"/>
        </w:rPr>
        <w:t xml:space="preserve">, and that the maximum latency becomes </w:t>
      </w:r>
      <w:r w:rsidR="0011260F">
        <w:rPr>
          <w:i/>
          <w:sz w:val="20"/>
          <w:lang w:val="en-US" w:eastAsia="sv-SE"/>
        </w:rPr>
        <w:t>T</w:t>
      </w:r>
      <w:r w:rsidR="0011260F">
        <w:rPr>
          <w:sz w:val="20"/>
          <w:vertAlign w:val="subscript"/>
          <w:lang w:val="en-US" w:eastAsia="sv-SE"/>
        </w:rPr>
        <w:t xml:space="preserve">tot </w:t>
      </w:r>
      <w:r w:rsidR="0011260F">
        <w:rPr>
          <w:sz w:val="20"/>
          <w:lang w:val="en-US" w:eastAsia="sv-SE"/>
        </w:rPr>
        <w:t>=</w:t>
      </w:r>
      <w:r w:rsidR="0011260F">
        <w:rPr>
          <w:rFonts w:ascii="Calibri" w:hAnsi="Calibri"/>
          <w:sz w:val="20"/>
          <w:lang w:val="en-US" w:eastAsia="sv-SE"/>
        </w:rPr>
        <w:t>∆</w:t>
      </w:r>
      <w:r w:rsidR="0011260F">
        <w:rPr>
          <w:i/>
          <w:sz w:val="20"/>
          <w:lang w:val="en-US" w:eastAsia="sv-SE"/>
        </w:rPr>
        <w:t>T+ T</w:t>
      </w:r>
      <w:r w:rsidR="0011260F">
        <w:rPr>
          <w:sz w:val="20"/>
          <w:vertAlign w:val="subscript"/>
          <w:lang w:val="en-US" w:eastAsia="sv-SE"/>
        </w:rPr>
        <w:t>SP</w:t>
      </w:r>
      <w:r w:rsidR="0011260F">
        <w:rPr>
          <w:sz w:val="20"/>
          <w:lang w:val="en-US" w:eastAsia="sv-SE"/>
        </w:rPr>
        <w:t xml:space="preserve"> = </w:t>
      </w:r>
      <w:r w:rsidR="0011260F">
        <w:rPr>
          <w:i/>
          <w:sz w:val="20"/>
          <w:lang w:val="en-US" w:eastAsia="sv-SE"/>
        </w:rPr>
        <w:t>T</w:t>
      </w:r>
      <w:r w:rsidR="0011260F">
        <w:rPr>
          <w:sz w:val="20"/>
          <w:vertAlign w:val="subscript"/>
          <w:lang w:val="en-US" w:eastAsia="sv-SE"/>
        </w:rPr>
        <w:t>SP</w:t>
      </w:r>
      <w:r w:rsidR="00A50E44">
        <w:rPr>
          <w:sz w:val="20"/>
          <w:vertAlign w:val="subscript"/>
          <w:lang w:val="en-US" w:eastAsia="sv-SE"/>
        </w:rPr>
        <w:t xml:space="preserve"> </w:t>
      </w:r>
      <w:r w:rsidR="0011260F">
        <w:rPr>
          <w:sz w:val="20"/>
          <w:lang w:val="en-US" w:eastAsia="sv-SE"/>
        </w:rPr>
        <w:t>(1+1/</w:t>
      </w:r>
      <w:r w:rsidR="0011260F">
        <w:rPr>
          <w:i/>
          <w:sz w:val="20"/>
          <w:lang w:val="en-US" w:eastAsia="sv-SE"/>
        </w:rPr>
        <w:t>N</w:t>
      </w:r>
      <w:r w:rsidR="003D0261">
        <w:rPr>
          <w:sz w:val="20"/>
          <w:lang w:val="en-US" w:eastAsia="sv-SE"/>
        </w:rPr>
        <w:t>).</w:t>
      </w:r>
    </w:p>
    <w:p w14:paraId="069AF71E" w14:textId="515FF6FF" w:rsidR="0011260F" w:rsidRDefault="0011260F" w:rsidP="0011260F">
      <w:pPr>
        <w:rPr>
          <w:sz w:val="20"/>
          <w:lang w:val="en-US" w:eastAsia="sv-SE"/>
        </w:rPr>
      </w:pPr>
      <w:r>
        <w:rPr>
          <w:sz w:val="20"/>
          <w:lang w:val="en-US" w:eastAsia="sv-SE"/>
        </w:rPr>
        <w:t xml:space="preserve">Thus by proper dimensioning of the number of resource pools and scheduling periods, it becomes possible to offer longer transmission budget yet meeting the same maximum latency requirement. For example with </w:t>
      </w:r>
      <w:r>
        <w:rPr>
          <w:i/>
          <w:sz w:val="20"/>
          <w:lang w:val="en-US" w:eastAsia="sv-SE"/>
        </w:rPr>
        <w:t>T</w:t>
      </w:r>
      <w:r>
        <w:rPr>
          <w:sz w:val="20"/>
          <w:vertAlign w:val="subscript"/>
          <w:lang w:val="en-US" w:eastAsia="sv-SE"/>
        </w:rPr>
        <w:t>SP</w:t>
      </w:r>
      <w:r>
        <w:rPr>
          <w:sz w:val="20"/>
          <w:lang w:val="en-US" w:eastAsia="sv-SE"/>
        </w:rPr>
        <w:t xml:space="preserve">=18ms, </w:t>
      </w:r>
      <w:r>
        <w:rPr>
          <w:i/>
          <w:sz w:val="20"/>
          <w:lang w:val="en-US" w:eastAsia="sv-SE"/>
        </w:rPr>
        <w:t>N</w:t>
      </w:r>
      <w:r>
        <w:rPr>
          <w:sz w:val="20"/>
          <w:lang w:val="en-US" w:eastAsia="sv-SE"/>
        </w:rPr>
        <w:t xml:space="preserve">=2, and </w:t>
      </w:r>
      <w:r>
        <w:rPr>
          <w:rFonts w:ascii="Calibri" w:hAnsi="Calibri"/>
          <w:sz w:val="20"/>
          <w:lang w:val="en-US" w:eastAsia="sv-SE"/>
        </w:rPr>
        <w:t>∆</w:t>
      </w:r>
      <w:r>
        <w:rPr>
          <w:i/>
          <w:sz w:val="20"/>
          <w:lang w:val="en-US" w:eastAsia="sv-SE"/>
        </w:rPr>
        <w:t>T</w:t>
      </w:r>
      <w:r>
        <w:rPr>
          <w:sz w:val="20"/>
          <w:lang w:val="en-US" w:eastAsia="sv-SE"/>
        </w:rPr>
        <w:t>=2ms, the total latency is still 20</w:t>
      </w:r>
      <w:r w:rsidR="004B10DC">
        <w:rPr>
          <w:sz w:val="20"/>
          <w:lang w:val="en-US" w:eastAsia="sv-SE"/>
        </w:rPr>
        <w:t xml:space="preserve"> </w:t>
      </w:r>
      <w:r>
        <w:rPr>
          <w:sz w:val="20"/>
          <w:lang w:val="en-US" w:eastAsia="sv-SE"/>
        </w:rPr>
        <w:t>ms, but the transmissions can be spread over a period of 18</w:t>
      </w:r>
      <w:r w:rsidR="004B10DC">
        <w:rPr>
          <w:sz w:val="20"/>
          <w:lang w:val="en-US" w:eastAsia="sv-SE"/>
        </w:rPr>
        <w:t xml:space="preserve"> </w:t>
      </w:r>
      <w:r>
        <w:rPr>
          <w:sz w:val="20"/>
          <w:lang w:val="en-US" w:eastAsia="sv-SE"/>
        </w:rPr>
        <w:t>ms instead of 10</w:t>
      </w:r>
      <w:r w:rsidR="004B10DC">
        <w:rPr>
          <w:sz w:val="20"/>
          <w:lang w:val="en-US" w:eastAsia="sv-SE"/>
        </w:rPr>
        <w:t xml:space="preserve"> </w:t>
      </w:r>
      <w:r>
        <w:rPr>
          <w:sz w:val="20"/>
          <w:lang w:val="en-US" w:eastAsia="sv-SE"/>
        </w:rPr>
        <w:t>ms.</w:t>
      </w:r>
    </w:p>
    <w:p w14:paraId="20B662E3" w14:textId="77777777" w:rsidR="007967DE" w:rsidRDefault="007967DE" w:rsidP="00177D5C">
      <w:pPr>
        <w:rPr>
          <w:sz w:val="20"/>
          <w:lang w:val="en-US" w:eastAsia="sv-SE"/>
        </w:rPr>
      </w:pPr>
    </w:p>
    <w:p w14:paraId="50E86218" w14:textId="76E74471" w:rsidR="00415495" w:rsidRDefault="00A02B54" w:rsidP="00415495">
      <w:pPr>
        <w:keepNext/>
        <w:jc w:val="center"/>
      </w:pPr>
      <w:r>
        <w:object w:dxaOrig="11221" w:dyaOrig="4411" w14:anchorId="7E1B48F9">
          <v:shape id="_x0000_i1026" type="#_x0000_t75" style="width:340.3pt;height:133.8pt" o:ole="">
            <v:imagedata r:id="rId14" o:title=""/>
          </v:shape>
          <o:OLEObject Type="Embed" ProgID="Visio.Drawing.15" ShapeID="_x0000_i1026" DrawAspect="Content" ObjectID="_1504684734" r:id="rId15"/>
        </w:object>
      </w:r>
    </w:p>
    <w:p w14:paraId="7F6CD227" w14:textId="77777777" w:rsidR="003D0261" w:rsidRDefault="003D0261" w:rsidP="003D0261">
      <w:pPr>
        <w:pStyle w:val="Caption"/>
      </w:pPr>
      <w:r>
        <w:t xml:space="preserve">Figure </w:t>
      </w:r>
      <w:r>
        <w:fldChar w:fldCharType="begin"/>
      </w:r>
      <w:r>
        <w:instrText xml:space="preserve"> SEQ Figure \* ARABIC </w:instrText>
      </w:r>
      <w:r>
        <w:fldChar w:fldCharType="separate"/>
      </w:r>
      <w:r>
        <w:rPr>
          <w:noProof/>
        </w:rPr>
        <w:t>2</w:t>
      </w:r>
      <w:r>
        <w:fldChar w:fldCharType="end"/>
      </w:r>
      <w:r>
        <w:t>: Staggering of V2X SA/Data resource pools in time to reduce access latency</w:t>
      </w:r>
    </w:p>
    <w:p w14:paraId="676916FC" w14:textId="217B6E36" w:rsidR="003D0261" w:rsidRPr="003D0261" w:rsidRDefault="003D0261" w:rsidP="003D0261">
      <w:r>
        <w:rPr>
          <w:sz w:val="20"/>
          <w:lang w:val="en-US" w:eastAsia="sv-SE"/>
        </w:rPr>
        <w:lastRenderedPageBreak/>
        <w:t xml:space="preserve">We finally note here that a reduction in average access delays </w:t>
      </w:r>
      <w:r>
        <w:rPr>
          <w:sz w:val="20"/>
          <w:lang w:val="en-US" w:eastAsia="sv-SE"/>
        </w:rPr>
        <w:t xml:space="preserve">for V2X </w:t>
      </w:r>
      <w:r>
        <w:rPr>
          <w:sz w:val="20"/>
          <w:lang w:val="en-US" w:eastAsia="sv-SE"/>
        </w:rPr>
        <w:t xml:space="preserve">can be achieved even when the existing R12 D2D </w:t>
      </w:r>
      <w:r>
        <w:rPr>
          <w:sz w:val="20"/>
          <w:lang w:val="en-US" w:eastAsia="sv-SE"/>
        </w:rPr>
        <w:t xml:space="preserve">transmission </w:t>
      </w:r>
      <w:r>
        <w:rPr>
          <w:sz w:val="20"/>
          <w:lang w:val="en-US" w:eastAsia="sv-SE"/>
        </w:rPr>
        <w:t xml:space="preserve">principle </w:t>
      </w:r>
      <w:r>
        <w:rPr>
          <w:sz w:val="20"/>
          <w:lang w:val="en-US" w:eastAsia="sv-SE"/>
        </w:rPr>
        <w:t xml:space="preserve">with </w:t>
      </w:r>
      <w:r>
        <w:rPr>
          <w:sz w:val="20"/>
          <w:lang w:val="en-US" w:eastAsia="sv-SE"/>
        </w:rPr>
        <w:t xml:space="preserve">SAs </w:t>
      </w:r>
      <w:r>
        <w:rPr>
          <w:sz w:val="20"/>
          <w:lang w:val="en-US" w:eastAsia="sv-SE"/>
        </w:rPr>
        <w:t xml:space="preserve">announcing the data </w:t>
      </w:r>
      <w:r>
        <w:rPr>
          <w:sz w:val="20"/>
          <w:lang w:val="en-US" w:eastAsia="sv-SE"/>
        </w:rPr>
        <w:t xml:space="preserve">T-RPTs </w:t>
      </w:r>
      <w:r>
        <w:rPr>
          <w:sz w:val="20"/>
          <w:lang w:val="en-US" w:eastAsia="sv-SE"/>
        </w:rPr>
        <w:t xml:space="preserve">for a Scheduling Period </w:t>
      </w:r>
      <w:r>
        <w:rPr>
          <w:sz w:val="20"/>
          <w:lang w:val="en-US" w:eastAsia="sv-SE"/>
        </w:rPr>
        <w:t xml:space="preserve">is </w:t>
      </w:r>
      <w:r>
        <w:rPr>
          <w:sz w:val="20"/>
          <w:lang w:val="en-US" w:eastAsia="sv-SE"/>
        </w:rPr>
        <w:t>re-</w:t>
      </w:r>
      <w:r>
        <w:rPr>
          <w:sz w:val="20"/>
          <w:lang w:val="en-US" w:eastAsia="sv-SE"/>
        </w:rPr>
        <w:t>used for V2X</w:t>
      </w:r>
      <w:r>
        <w:rPr>
          <w:sz w:val="20"/>
          <w:lang w:val="en-US" w:eastAsia="sv-SE"/>
        </w:rPr>
        <w:t xml:space="preserve"> (Figure 3).</w:t>
      </w:r>
    </w:p>
    <w:p w14:paraId="69C681C2" w14:textId="77777777" w:rsidR="003D0261" w:rsidRPr="003D0261" w:rsidRDefault="003D0261" w:rsidP="00AB7CED">
      <w:pPr>
        <w:keepNext/>
        <w:rPr>
          <w:lang w:val="en-US"/>
        </w:rPr>
      </w:pPr>
    </w:p>
    <w:p w14:paraId="330AE25B" w14:textId="11788C9F" w:rsidR="002206E3" w:rsidRDefault="00A02B54" w:rsidP="002206E3">
      <w:pPr>
        <w:keepNext/>
        <w:jc w:val="center"/>
      </w:pPr>
      <w:r>
        <w:object w:dxaOrig="11131" w:dyaOrig="3870" w14:anchorId="313C7801">
          <v:shape id="_x0000_i1027" type="#_x0000_t75" style="width:358.65pt;height:124.3pt" o:ole="">
            <v:imagedata r:id="rId16" o:title=""/>
          </v:shape>
          <o:OLEObject Type="Embed" ProgID="Visio.Drawing.15" ShapeID="_x0000_i1027" DrawAspect="Content" ObjectID="_1504684735" r:id="rId17"/>
        </w:object>
      </w:r>
    </w:p>
    <w:p w14:paraId="1F940F21" w14:textId="1AB6650E" w:rsidR="007967DE" w:rsidRDefault="007967DE" w:rsidP="007967DE">
      <w:pPr>
        <w:pStyle w:val="Caption"/>
        <w:rPr>
          <w:sz w:val="20"/>
          <w:lang w:val="en-US" w:eastAsia="sv-SE"/>
        </w:rPr>
      </w:pPr>
      <w:bookmarkStart w:id="1" w:name="_Ref430784476"/>
      <w:r>
        <w:t xml:space="preserve">Figure </w:t>
      </w:r>
      <w:bookmarkEnd w:id="1"/>
      <w:r w:rsidR="003D0261">
        <w:t>3</w:t>
      </w:r>
      <w:r>
        <w:t xml:space="preserve">: Staggering of V2X SA/Data resource pools </w:t>
      </w:r>
      <w:r w:rsidR="003D0261">
        <w:t>with SA and T-RPT for Data</w:t>
      </w:r>
    </w:p>
    <w:p w14:paraId="5F8265DE" w14:textId="1F966338" w:rsidR="007967DE" w:rsidRDefault="007967DE" w:rsidP="007967DE">
      <w:pPr>
        <w:rPr>
          <w:sz w:val="20"/>
          <w:lang w:val="en-US" w:eastAsia="sv-SE"/>
        </w:rPr>
      </w:pPr>
    </w:p>
    <w:p w14:paraId="69548CB4" w14:textId="58E60650" w:rsidR="000A5E3B" w:rsidRDefault="00C42A00" w:rsidP="000A5E3B">
      <w:pPr>
        <w:pStyle w:val="Heading2"/>
        <w:rPr>
          <w:lang w:val="en-US" w:eastAsia="sv-SE"/>
        </w:rPr>
      </w:pPr>
      <w:r>
        <w:rPr>
          <w:lang w:val="en-US" w:eastAsia="sv-SE"/>
        </w:rPr>
        <w:t xml:space="preserve">Random </w:t>
      </w:r>
      <w:r w:rsidR="007967DE">
        <w:rPr>
          <w:lang w:val="en-US" w:eastAsia="sv-SE"/>
        </w:rPr>
        <w:t xml:space="preserve">resource </w:t>
      </w:r>
      <w:r>
        <w:rPr>
          <w:lang w:val="en-US" w:eastAsia="sv-SE"/>
        </w:rPr>
        <w:t>pool selection</w:t>
      </w:r>
      <w:r w:rsidR="007967DE">
        <w:rPr>
          <w:lang w:val="en-US" w:eastAsia="sv-SE"/>
        </w:rPr>
        <w:t xml:space="preserve"> for V2X</w:t>
      </w:r>
    </w:p>
    <w:p w14:paraId="6166A881" w14:textId="5F0D0D58" w:rsidR="00D50B9E" w:rsidRDefault="007967DE" w:rsidP="000A5E3B">
      <w:pPr>
        <w:rPr>
          <w:sz w:val="20"/>
          <w:lang w:val="en-US" w:eastAsia="sv-SE"/>
        </w:rPr>
      </w:pPr>
      <w:r>
        <w:rPr>
          <w:sz w:val="20"/>
          <w:lang w:val="en-US" w:eastAsia="sv-SE"/>
        </w:rPr>
        <w:t>V2X</w:t>
      </w:r>
      <w:r w:rsidR="00D50B9E">
        <w:rPr>
          <w:sz w:val="20"/>
          <w:lang w:val="en-US" w:eastAsia="sv-SE"/>
        </w:rPr>
        <w:t xml:space="preserve"> event-triggered messages when exchanged over PC5 may be expected to result in a </w:t>
      </w:r>
      <w:r w:rsidR="00BA19C0" w:rsidRPr="007967DE">
        <w:rPr>
          <w:sz w:val="20"/>
          <w:lang w:val="en-US" w:eastAsia="sv-SE"/>
        </w:rPr>
        <w:t xml:space="preserve">large number of </w:t>
      </w:r>
      <w:r w:rsidR="00D50B9E">
        <w:rPr>
          <w:sz w:val="20"/>
          <w:lang w:val="en-US" w:eastAsia="sv-SE"/>
        </w:rPr>
        <w:t xml:space="preserve">simultaneous </w:t>
      </w:r>
      <w:r w:rsidR="00BA19C0" w:rsidRPr="007967DE">
        <w:rPr>
          <w:sz w:val="20"/>
          <w:lang w:val="en-US" w:eastAsia="sv-SE"/>
        </w:rPr>
        <w:t>transmissions</w:t>
      </w:r>
      <w:r w:rsidR="00D50B9E">
        <w:rPr>
          <w:sz w:val="20"/>
          <w:lang w:val="en-US" w:eastAsia="sv-SE"/>
        </w:rPr>
        <w:t xml:space="preserve"> attempts. It is very </w:t>
      </w:r>
      <w:r w:rsidR="00BA19C0" w:rsidRPr="007967DE">
        <w:rPr>
          <w:sz w:val="20"/>
          <w:lang w:val="en-US" w:eastAsia="sv-SE"/>
        </w:rPr>
        <w:t>desirable to spread the</w:t>
      </w:r>
      <w:r w:rsidR="00D50B9E">
        <w:rPr>
          <w:sz w:val="20"/>
          <w:lang w:val="en-US" w:eastAsia="sv-SE"/>
        </w:rPr>
        <w:t>se signaling</w:t>
      </w:r>
      <w:r w:rsidR="00BA19C0" w:rsidRPr="007967DE">
        <w:rPr>
          <w:sz w:val="20"/>
          <w:lang w:val="en-US" w:eastAsia="sv-SE"/>
        </w:rPr>
        <w:t xml:space="preserve"> messages</w:t>
      </w:r>
      <w:r w:rsidR="00D50B9E">
        <w:rPr>
          <w:sz w:val="20"/>
          <w:lang w:val="en-US" w:eastAsia="sv-SE"/>
        </w:rPr>
        <w:t xml:space="preserve"> in time to increase the probability of successful delivery.</w:t>
      </w:r>
    </w:p>
    <w:p w14:paraId="7DFB9128" w14:textId="77777777" w:rsidR="00A02B54" w:rsidRDefault="00D50B9E" w:rsidP="000A5E3B">
      <w:pPr>
        <w:rPr>
          <w:sz w:val="20"/>
          <w:lang w:val="en-US" w:eastAsia="sv-SE"/>
        </w:rPr>
      </w:pPr>
      <w:r>
        <w:rPr>
          <w:sz w:val="20"/>
          <w:lang w:val="en-US" w:eastAsia="sv-SE"/>
        </w:rPr>
        <w:t xml:space="preserve">V2X resource allocation and selection should be designed such that a </w:t>
      </w:r>
      <w:r w:rsidR="00B2622F" w:rsidRPr="007967DE">
        <w:rPr>
          <w:sz w:val="20"/>
          <w:lang w:val="en-US" w:eastAsia="sv-SE"/>
        </w:rPr>
        <w:t xml:space="preserve">random </w:t>
      </w:r>
      <w:r>
        <w:rPr>
          <w:sz w:val="20"/>
          <w:lang w:val="en-US" w:eastAsia="sv-SE"/>
        </w:rPr>
        <w:t xml:space="preserve">resource </w:t>
      </w:r>
      <w:r w:rsidR="00B2622F" w:rsidRPr="007967DE">
        <w:rPr>
          <w:sz w:val="20"/>
          <w:lang w:val="en-US" w:eastAsia="sv-SE"/>
        </w:rPr>
        <w:t xml:space="preserve">pool for transmission out of the </w:t>
      </w:r>
      <w:r>
        <w:rPr>
          <w:sz w:val="20"/>
          <w:lang w:val="en-US" w:eastAsia="sv-SE"/>
        </w:rPr>
        <w:t xml:space="preserve">available </w:t>
      </w:r>
      <w:r w:rsidR="00B2622F" w:rsidRPr="007967DE">
        <w:rPr>
          <w:sz w:val="20"/>
          <w:lang w:val="en-US" w:eastAsia="sv-SE"/>
        </w:rPr>
        <w:t xml:space="preserve">next </w:t>
      </w:r>
      <w:r w:rsidR="00B2622F" w:rsidRPr="007967DE">
        <w:rPr>
          <w:i/>
          <w:sz w:val="20"/>
          <w:lang w:val="en-US" w:eastAsia="sv-SE"/>
        </w:rPr>
        <w:t>N</w:t>
      </w:r>
      <w:r w:rsidR="00B2622F" w:rsidRPr="007967DE">
        <w:rPr>
          <w:i/>
          <w:sz w:val="20"/>
          <w:vertAlign w:val="subscript"/>
          <w:lang w:val="en-US" w:eastAsia="sv-SE"/>
        </w:rPr>
        <w:t>c</w:t>
      </w:r>
      <w:r w:rsidR="00B2622F" w:rsidRPr="007967DE">
        <w:rPr>
          <w:sz w:val="20"/>
          <w:lang w:val="en-US" w:eastAsia="sv-SE"/>
        </w:rPr>
        <w:t xml:space="preserve"> candidate pools</w:t>
      </w:r>
      <w:r>
        <w:rPr>
          <w:sz w:val="20"/>
          <w:lang w:val="en-US" w:eastAsia="sv-SE"/>
        </w:rPr>
        <w:t xml:space="preserve"> is </w:t>
      </w:r>
      <w:r w:rsidR="00AB7CED">
        <w:rPr>
          <w:sz w:val="20"/>
          <w:lang w:val="en-US" w:eastAsia="sv-SE"/>
        </w:rPr>
        <w:t>used by a given device (Figure 4</w:t>
      </w:r>
      <w:r w:rsidR="00A02B54">
        <w:rPr>
          <w:sz w:val="20"/>
          <w:lang w:val="en-US" w:eastAsia="sv-SE"/>
        </w:rPr>
        <w:t>).</w:t>
      </w:r>
    </w:p>
    <w:p w14:paraId="54E6E9BF" w14:textId="36FCA12B" w:rsidR="00D50B9E" w:rsidRDefault="00D50B9E" w:rsidP="000A5E3B">
      <w:pPr>
        <w:rPr>
          <w:sz w:val="20"/>
          <w:lang w:val="en-US" w:eastAsia="sv-SE"/>
        </w:rPr>
      </w:pPr>
      <w:r>
        <w:rPr>
          <w:sz w:val="20"/>
          <w:lang w:val="en-US" w:eastAsia="sv-SE"/>
        </w:rPr>
        <w:t xml:space="preserve">The UE at random selects a single SA/Data resource pool out of a small set of next </w:t>
      </w:r>
      <w:r w:rsidRPr="007967DE">
        <w:rPr>
          <w:i/>
          <w:sz w:val="20"/>
          <w:lang w:val="en-US" w:eastAsia="sv-SE"/>
        </w:rPr>
        <w:t>N</w:t>
      </w:r>
      <w:r w:rsidRPr="007967DE">
        <w:rPr>
          <w:i/>
          <w:sz w:val="20"/>
          <w:vertAlign w:val="subscript"/>
          <w:lang w:val="en-US" w:eastAsia="sv-SE"/>
        </w:rPr>
        <w:t>c</w:t>
      </w:r>
      <w:r w:rsidRPr="007967DE">
        <w:rPr>
          <w:sz w:val="20"/>
          <w:lang w:val="en-US" w:eastAsia="sv-SE"/>
        </w:rPr>
        <w:t xml:space="preserve"> </w:t>
      </w:r>
      <w:r>
        <w:rPr>
          <w:sz w:val="20"/>
          <w:lang w:val="en-US" w:eastAsia="sv-SE"/>
        </w:rPr>
        <w:t>available resource pools.</w:t>
      </w:r>
    </w:p>
    <w:p w14:paraId="3EE68EB6" w14:textId="77777777" w:rsidR="00A02B54" w:rsidRDefault="00A02B54" w:rsidP="000A5E3B">
      <w:pPr>
        <w:rPr>
          <w:sz w:val="20"/>
          <w:lang w:val="en-US" w:eastAsia="sv-SE"/>
        </w:rPr>
      </w:pPr>
    </w:p>
    <w:p w14:paraId="4D102E6D" w14:textId="0F6F60F0" w:rsidR="002206E3" w:rsidRDefault="00A02B54" w:rsidP="007967DE">
      <w:pPr>
        <w:jc w:val="center"/>
      </w:pPr>
      <w:r>
        <w:object w:dxaOrig="11221" w:dyaOrig="4665" w14:anchorId="0D7AE184">
          <v:shape id="_x0000_i1028" type="#_x0000_t75" style="width:362.7pt;height:150.8pt" o:ole="">
            <v:imagedata r:id="rId18" o:title=""/>
          </v:shape>
          <o:OLEObject Type="Embed" ProgID="Visio.Drawing.15" ShapeID="_x0000_i1028" DrawAspect="Content" ObjectID="_1504684736" r:id="rId19"/>
        </w:object>
      </w:r>
    </w:p>
    <w:p w14:paraId="38813BE2" w14:textId="76400EF7" w:rsidR="007967DE" w:rsidRDefault="00A02B54" w:rsidP="007967DE">
      <w:pPr>
        <w:pStyle w:val="Caption"/>
        <w:rPr>
          <w:sz w:val="20"/>
          <w:lang w:val="en-US" w:eastAsia="sv-SE"/>
        </w:rPr>
      </w:pPr>
      <w:r>
        <w:t>Figure 4</w:t>
      </w:r>
      <w:r w:rsidR="007967DE">
        <w:t>: V2X SA/Data resource pools with random resource selection</w:t>
      </w:r>
    </w:p>
    <w:p w14:paraId="386E52BC" w14:textId="126987B3" w:rsidR="00C958ED" w:rsidRDefault="00D50B9E" w:rsidP="0011092E">
      <w:pPr>
        <w:rPr>
          <w:sz w:val="20"/>
          <w:lang w:val="en-US" w:eastAsia="sv-SE"/>
        </w:rPr>
      </w:pPr>
      <w:r w:rsidRPr="007967DE">
        <w:rPr>
          <w:sz w:val="20"/>
          <w:lang w:val="en-US" w:eastAsia="sv-SE"/>
        </w:rPr>
        <w:t>This allows some spreading of the transmissions in time, but more importantly</w:t>
      </w:r>
      <w:r w:rsidR="00AB7CED">
        <w:rPr>
          <w:sz w:val="20"/>
          <w:lang w:val="en-US" w:eastAsia="sv-SE"/>
        </w:rPr>
        <w:t>, it allows</w:t>
      </w:r>
      <w:r w:rsidRPr="007967DE">
        <w:rPr>
          <w:sz w:val="20"/>
          <w:lang w:val="en-US" w:eastAsia="sv-SE"/>
        </w:rPr>
        <w:t xml:space="preserve"> </w:t>
      </w:r>
      <w:r>
        <w:rPr>
          <w:sz w:val="20"/>
          <w:lang w:val="en-US" w:eastAsia="sv-SE"/>
        </w:rPr>
        <w:t xml:space="preserve">a </w:t>
      </w:r>
      <w:r w:rsidRPr="007967DE">
        <w:rPr>
          <w:sz w:val="20"/>
          <w:lang w:val="en-US" w:eastAsia="sv-SE"/>
        </w:rPr>
        <w:t>sp</w:t>
      </w:r>
      <w:r>
        <w:rPr>
          <w:sz w:val="20"/>
          <w:lang w:val="en-US" w:eastAsia="sv-SE"/>
        </w:rPr>
        <w:t>reading of the transmissions into more than one resource pool</w:t>
      </w:r>
      <w:r w:rsidRPr="007967DE">
        <w:rPr>
          <w:sz w:val="20"/>
          <w:lang w:val="en-US" w:eastAsia="sv-SE"/>
        </w:rPr>
        <w:t>.</w:t>
      </w:r>
      <w:r>
        <w:rPr>
          <w:sz w:val="20"/>
          <w:lang w:val="en-US" w:eastAsia="sv-SE"/>
        </w:rPr>
        <w:t xml:space="preserve"> Such an </w:t>
      </w:r>
      <w:r w:rsidR="00B2622F">
        <w:rPr>
          <w:sz w:val="20"/>
          <w:lang w:val="en-US" w:eastAsia="sv-SE"/>
        </w:rPr>
        <w:t xml:space="preserve">approach </w:t>
      </w:r>
      <w:r>
        <w:rPr>
          <w:sz w:val="20"/>
          <w:lang w:val="en-US" w:eastAsia="sv-SE"/>
        </w:rPr>
        <w:t>will inherently lend itself to achiev</w:t>
      </w:r>
      <w:r w:rsidR="00A50E44">
        <w:rPr>
          <w:sz w:val="20"/>
          <w:lang w:val="en-US" w:eastAsia="sv-SE"/>
        </w:rPr>
        <w:t>ing</w:t>
      </w:r>
      <w:r>
        <w:rPr>
          <w:sz w:val="20"/>
          <w:lang w:val="en-US" w:eastAsia="sv-SE"/>
        </w:rPr>
        <w:t xml:space="preserve"> access control with </w:t>
      </w:r>
      <w:r w:rsidR="00B2622F">
        <w:rPr>
          <w:sz w:val="20"/>
          <w:lang w:val="en-US" w:eastAsia="sv-SE"/>
        </w:rPr>
        <w:t>priority</w:t>
      </w:r>
      <w:r w:rsidR="00A50E44">
        <w:rPr>
          <w:sz w:val="20"/>
          <w:lang w:val="en-US" w:eastAsia="sv-SE"/>
        </w:rPr>
        <w:t>-</w:t>
      </w:r>
      <w:r>
        <w:rPr>
          <w:sz w:val="20"/>
          <w:lang w:val="en-US" w:eastAsia="sv-SE"/>
        </w:rPr>
        <w:t>based access, at least in the statistical sense.</w:t>
      </w:r>
      <w:r w:rsidR="00B2622F">
        <w:rPr>
          <w:sz w:val="20"/>
          <w:lang w:val="en-US" w:eastAsia="sv-SE"/>
        </w:rPr>
        <w:t xml:space="preserve"> </w:t>
      </w:r>
      <w:r>
        <w:rPr>
          <w:sz w:val="20"/>
          <w:lang w:val="en-US" w:eastAsia="sv-SE"/>
        </w:rPr>
        <w:t xml:space="preserve">V2X </w:t>
      </w:r>
      <w:r w:rsidR="00B2622F">
        <w:rPr>
          <w:sz w:val="20"/>
          <w:lang w:val="en-US" w:eastAsia="sv-SE"/>
        </w:rPr>
        <w:t xml:space="preserve">messages </w:t>
      </w:r>
      <w:r>
        <w:rPr>
          <w:sz w:val="20"/>
          <w:lang w:val="en-US" w:eastAsia="sv-SE"/>
        </w:rPr>
        <w:t xml:space="preserve">which require </w:t>
      </w:r>
      <w:r w:rsidR="00B2622F">
        <w:rPr>
          <w:sz w:val="20"/>
          <w:lang w:val="en-US" w:eastAsia="sv-SE"/>
        </w:rPr>
        <w:t xml:space="preserve">low latency </w:t>
      </w:r>
      <w:r>
        <w:rPr>
          <w:sz w:val="20"/>
          <w:lang w:val="en-US" w:eastAsia="sv-SE"/>
        </w:rPr>
        <w:t xml:space="preserve">can </w:t>
      </w:r>
      <w:r w:rsidR="00B2622F">
        <w:rPr>
          <w:sz w:val="20"/>
          <w:lang w:val="en-US" w:eastAsia="sv-SE"/>
        </w:rPr>
        <w:t>be transmitted without delay</w:t>
      </w:r>
      <w:r>
        <w:rPr>
          <w:sz w:val="20"/>
          <w:lang w:val="en-US" w:eastAsia="sv-SE"/>
        </w:rPr>
        <w:t xml:space="preserve"> into the next beginning V2X resource pool</w:t>
      </w:r>
      <w:r w:rsidR="00B2622F">
        <w:rPr>
          <w:sz w:val="20"/>
          <w:lang w:val="en-US" w:eastAsia="sv-SE"/>
        </w:rPr>
        <w:t xml:space="preserve">, while </w:t>
      </w:r>
      <w:r>
        <w:rPr>
          <w:sz w:val="20"/>
          <w:lang w:val="en-US" w:eastAsia="sv-SE"/>
        </w:rPr>
        <w:t xml:space="preserve">lower priority signaling messages </w:t>
      </w:r>
      <w:r w:rsidR="00A50E44">
        <w:rPr>
          <w:sz w:val="20"/>
          <w:lang w:val="en-US" w:eastAsia="sv-SE"/>
        </w:rPr>
        <w:t xml:space="preserve">can be </w:t>
      </w:r>
      <w:r>
        <w:rPr>
          <w:sz w:val="20"/>
          <w:lang w:val="en-US" w:eastAsia="sv-SE"/>
        </w:rPr>
        <w:t xml:space="preserve">transmitted by choosing randomly one resource pool in a window of the next upcoming </w:t>
      </w:r>
      <w:r w:rsidRPr="007967DE">
        <w:rPr>
          <w:i/>
          <w:sz w:val="20"/>
          <w:lang w:val="en-US" w:eastAsia="sv-SE"/>
        </w:rPr>
        <w:t>N</w:t>
      </w:r>
      <w:r w:rsidRPr="007967DE">
        <w:rPr>
          <w:i/>
          <w:sz w:val="20"/>
          <w:vertAlign w:val="subscript"/>
          <w:lang w:val="en-US" w:eastAsia="sv-SE"/>
        </w:rPr>
        <w:t>c</w:t>
      </w:r>
      <w:r w:rsidRPr="007967DE">
        <w:rPr>
          <w:sz w:val="20"/>
          <w:lang w:val="en-US" w:eastAsia="sv-SE"/>
        </w:rPr>
        <w:t xml:space="preserve"> </w:t>
      </w:r>
      <w:r>
        <w:rPr>
          <w:sz w:val="20"/>
          <w:lang w:val="en-US" w:eastAsia="sv-SE"/>
        </w:rPr>
        <w:t>available resource pools.</w:t>
      </w:r>
    </w:p>
    <w:p w14:paraId="2409435A" w14:textId="14BFCF5B" w:rsidR="00A02B54" w:rsidRDefault="00A02B54">
      <w:pPr>
        <w:overflowPunct/>
        <w:autoSpaceDE/>
        <w:autoSpaceDN/>
        <w:adjustRightInd/>
        <w:spacing w:after="0"/>
        <w:jc w:val="left"/>
        <w:textAlignment w:val="auto"/>
        <w:rPr>
          <w:sz w:val="20"/>
          <w:lang w:val="en-US" w:eastAsia="sv-SE"/>
        </w:rPr>
      </w:pPr>
      <w:r>
        <w:rPr>
          <w:sz w:val="20"/>
          <w:lang w:val="en-US" w:eastAsia="sv-SE"/>
        </w:rPr>
        <w:br w:type="page"/>
      </w:r>
    </w:p>
    <w:p w14:paraId="5AD052BD" w14:textId="77777777" w:rsidR="00251B4A" w:rsidRPr="00077CF3" w:rsidRDefault="00251B4A" w:rsidP="00251B4A">
      <w:pPr>
        <w:pStyle w:val="Heading1"/>
        <w:spacing w:after="120"/>
        <w:rPr>
          <w:sz w:val="32"/>
          <w:lang w:val="en-US"/>
        </w:rPr>
      </w:pPr>
      <w:r w:rsidRPr="00077CF3">
        <w:rPr>
          <w:sz w:val="32"/>
          <w:lang w:val="en-US"/>
        </w:rPr>
        <w:lastRenderedPageBreak/>
        <w:t>Conclusion</w:t>
      </w:r>
    </w:p>
    <w:p w14:paraId="74AD5ED5" w14:textId="77777777" w:rsidR="00EB385B" w:rsidRDefault="00D50B9E" w:rsidP="00D50B9E">
      <w:pPr>
        <w:rPr>
          <w:sz w:val="20"/>
        </w:rPr>
      </w:pPr>
      <w:r>
        <w:rPr>
          <w:sz w:val="20"/>
        </w:rPr>
        <w:t>In this contribution, we share our views regarding several radio design enhancements to be considered for LTE-based V2X. In particular, we discuss improvements to resource allocation/selection mechanisms for V2X in order to improve upon access and data transfer delays achievable wit</w:t>
      </w:r>
      <w:r w:rsidR="00EB385B">
        <w:rPr>
          <w:sz w:val="20"/>
        </w:rPr>
        <w:t>h R12 D2D Communication Mode 2.</w:t>
      </w:r>
    </w:p>
    <w:p w14:paraId="2AAF3BE8" w14:textId="3A1BF795" w:rsidR="00D50B9E" w:rsidRDefault="00D50B9E" w:rsidP="00D50B9E">
      <w:pPr>
        <w:rPr>
          <w:sz w:val="20"/>
        </w:rPr>
      </w:pPr>
      <w:r>
        <w:rPr>
          <w:sz w:val="20"/>
        </w:rPr>
        <w:t>In summary, we propose,</w:t>
      </w:r>
    </w:p>
    <w:p w14:paraId="46B8DA52" w14:textId="28B7E1C9" w:rsidR="00D50B9E" w:rsidRPr="000B5DDC" w:rsidRDefault="00D50B9E" w:rsidP="00D50B9E">
      <w:pPr>
        <w:rPr>
          <w:b/>
          <w:sz w:val="20"/>
        </w:rPr>
      </w:pPr>
      <w:r w:rsidRPr="000B5DDC">
        <w:rPr>
          <w:b/>
          <w:sz w:val="20"/>
        </w:rPr>
        <w:t>Proposal 1:</w:t>
      </w:r>
    </w:p>
    <w:p w14:paraId="54E9CF05" w14:textId="1982D199" w:rsidR="00D50B9E" w:rsidRPr="000B5DDC" w:rsidRDefault="00D50B9E" w:rsidP="00D50B9E">
      <w:pPr>
        <w:rPr>
          <w:i/>
          <w:sz w:val="20"/>
        </w:rPr>
      </w:pPr>
      <w:r w:rsidRPr="000B5DDC">
        <w:rPr>
          <w:i/>
          <w:sz w:val="20"/>
        </w:rPr>
        <w:t xml:space="preserve">Multiple resource pools are used </w:t>
      </w:r>
      <w:r w:rsidR="000B5DDC" w:rsidRPr="000B5DDC">
        <w:rPr>
          <w:i/>
          <w:sz w:val="20"/>
        </w:rPr>
        <w:t>for delivery of V2X services with PC5</w:t>
      </w:r>
      <w:r w:rsidR="000B5DDC">
        <w:rPr>
          <w:i/>
          <w:sz w:val="20"/>
        </w:rPr>
        <w:t>.</w:t>
      </w:r>
    </w:p>
    <w:p w14:paraId="4EEA95B8" w14:textId="7B412834" w:rsidR="000B5DDC" w:rsidRPr="000B5DDC" w:rsidRDefault="000B5DDC" w:rsidP="000B5DDC">
      <w:pPr>
        <w:rPr>
          <w:b/>
          <w:sz w:val="20"/>
        </w:rPr>
      </w:pPr>
      <w:r>
        <w:rPr>
          <w:b/>
          <w:sz w:val="20"/>
        </w:rPr>
        <w:t>Proposal 2</w:t>
      </w:r>
      <w:r w:rsidRPr="000B5DDC">
        <w:rPr>
          <w:b/>
          <w:sz w:val="20"/>
        </w:rPr>
        <w:t>:</w:t>
      </w:r>
    </w:p>
    <w:p w14:paraId="187E8166" w14:textId="7FF9682D" w:rsidR="000B5DDC" w:rsidRDefault="000B5DDC" w:rsidP="000B5DDC">
      <w:pPr>
        <w:rPr>
          <w:i/>
          <w:sz w:val="20"/>
        </w:rPr>
      </w:pPr>
      <w:r>
        <w:rPr>
          <w:i/>
          <w:sz w:val="20"/>
        </w:rPr>
        <w:t>The m</w:t>
      </w:r>
      <w:r w:rsidRPr="000B5DDC">
        <w:rPr>
          <w:i/>
          <w:sz w:val="20"/>
        </w:rPr>
        <w:t xml:space="preserve">ultiple </w:t>
      </w:r>
      <w:r>
        <w:rPr>
          <w:i/>
          <w:sz w:val="20"/>
        </w:rPr>
        <w:t xml:space="preserve">V2X </w:t>
      </w:r>
      <w:r w:rsidRPr="000B5DDC">
        <w:rPr>
          <w:i/>
          <w:sz w:val="20"/>
        </w:rPr>
        <w:t xml:space="preserve">resource pools </w:t>
      </w:r>
      <w:r>
        <w:rPr>
          <w:i/>
          <w:sz w:val="20"/>
        </w:rPr>
        <w:t>can be configured sequentially in time to reduce V2X access delays.</w:t>
      </w:r>
    </w:p>
    <w:p w14:paraId="02337358" w14:textId="3D56E02A" w:rsidR="000B5DDC" w:rsidRPr="000B5DDC" w:rsidRDefault="000B5DDC" w:rsidP="000B5DDC">
      <w:pPr>
        <w:rPr>
          <w:b/>
          <w:sz w:val="20"/>
        </w:rPr>
      </w:pPr>
      <w:r>
        <w:rPr>
          <w:b/>
          <w:sz w:val="20"/>
        </w:rPr>
        <w:t>Proposal 3</w:t>
      </w:r>
      <w:r w:rsidRPr="000B5DDC">
        <w:rPr>
          <w:b/>
          <w:sz w:val="20"/>
        </w:rPr>
        <w:t>:</w:t>
      </w:r>
    </w:p>
    <w:p w14:paraId="0ADCB8FC" w14:textId="560F3692" w:rsidR="000B5DDC" w:rsidRDefault="000B5DDC" w:rsidP="000B5DDC">
      <w:pPr>
        <w:rPr>
          <w:i/>
          <w:sz w:val="20"/>
        </w:rPr>
      </w:pPr>
      <w:r>
        <w:rPr>
          <w:i/>
          <w:sz w:val="20"/>
        </w:rPr>
        <w:t xml:space="preserve">V2X </w:t>
      </w:r>
      <w:r w:rsidRPr="000B5DDC">
        <w:rPr>
          <w:i/>
          <w:sz w:val="20"/>
        </w:rPr>
        <w:t xml:space="preserve">resource pools </w:t>
      </w:r>
      <w:r>
        <w:rPr>
          <w:i/>
          <w:sz w:val="20"/>
        </w:rPr>
        <w:t>when operating in D2D Mode 2 are randomly selected</w:t>
      </w:r>
      <w:r w:rsidR="00A50E44">
        <w:rPr>
          <w:i/>
          <w:sz w:val="20"/>
        </w:rPr>
        <w:t xml:space="preserve"> within a </w:t>
      </w:r>
      <w:r w:rsidR="002033D9">
        <w:rPr>
          <w:i/>
          <w:sz w:val="20"/>
        </w:rPr>
        <w:t xml:space="preserve">configurable </w:t>
      </w:r>
      <w:r w:rsidR="00A50E44">
        <w:rPr>
          <w:i/>
          <w:sz w:val="20"/>
        </w:rPr>
        <w:t>time window</w:t>
      </w:r>
      <w:r>
        <w:rPr>
          <w:i/>
          <w:sz w:val="20"/>
        </w:rPr>
        <w:t>.</w:t>
      </w:r>
    </w:p>
    <w:p w14:paraId="0EF7466D" w14:textId="77777777" w:rsidR="00251B4A" w:rsidRPr="00077CF3" w:rsidRDefault="00251B4A" w:rsidP="00251B4A">
      <w:pPr>
        <w:pStyle w:val="Heading1"/>
        <w:rPr>
          <w:sz w:val="32"/>
          <w:lang w:val="en-US"/>
        </w:rPr>
      </w:pPr>
      <w:r w:rsidRPr="00077CF3">
        <w:rPr>
          <w:sz w:val="32"/>
          <w:lang w:val="en-US"/>
        </w:rPr>
        <w:t>References</w:t>
      </w:r>
    </w:p>
    <w:p w14:paraId="12464378" w14:textId="2B445E82" w:rsidR="005C1E34" w:rsidRDefault="007D301B" w:rsidP="00B2622F">
      <w:pPr>
        <w:pStyle w:val="Reference"/>
        <w:rPr>
          <w:sz w:val="20"/>
          <w:lang w:val="en-US"/>
        </w:rPr>
      </w:pPr>
      <w:bookmarkStart w:id="2" w:name="_Ref430769078"/>
      <w:r>
        <w:rPr>
          <w:sz w:val="20"/>
          <w:lang w:val="en-US"/>
        </w:rPr>
        <w:t>R</w:t>
      </w:r>
      <w:r w:rsidR="005C1E34">
        <w:rPr>
          <w:sz w:val="20"/>
          <w:lang w:val="en-US"/>
        </w:rPr>
        <w:t>P-151109, Feasibility Study on LTE-based V2X Services, LG Electronics, CATT, Vodafone, Huawei, 3GPP TSG RAN Meeting #68, Malmö, Sweden, June 15-18, 2015.</w:t>
      </w:r>
      <w:bookmarkEnd w:id="2"/>
    </w:p>
    <w:p w14:paraId="54CE81DC" w14:textId="77777777" w:rsidR="00720529" w:rsidRDefault="00720529" w:rsidP="00720529">
      <w:pPr>
        <w:pStyle w:val="Reference"/>
        <w:rPr>
          <w:lang w:val="en-US"/>
        </w:rPr>
      </w:pPr>
      <w:bookmarkStart w:id="3" w:name="_Ref430856867"/>
      <w:r>
        <w:rPr>
          <w:lang w:val="en-US"/>
        </w:rPr>
        <w:t>TR 22.885 v.1.0.0, “Study on LTE Support for V2X Services (Release 14)”</w:t>
      </w:r>
      <w:bookmarkEnd w:id="3"/>
    </w:p>
    <w:p w14:paraId="0DC13771" w14:textId="4173587A" w:rsidR="003D41C3" w:rsidRPr="003D41C3" w:rsidRDefault="003D41C3" w:rsidP="000604BA">
      <w:pPr>
        <w:pStyle w:val="Reference"/>
        <w:numPr>
          <w:ilvl w:val="0"/>
          <w:numId w:val="0"/>
        </w:numPr>
        <w:rPr>
          <w:sz w:val="20"/>
          <w:lang w:val="en-US"/>
        </w:rPr>
      </w:pPr>
    </w:p>
    <w:sectPr w:rsidR="003D41C3" w:rsidRPr="003D41C3" w:rsidSect="00D55085">
      <w:headerReference w:type="even" r:id="rId20"/>
      <w:footerReference w:type="defaul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AF7E2" w14:textId="77777777" w:rsidR="00CE1B83" w:rsidRDefault="00CE1B83">
      <w:r>
        <w:separator/>
      </w:r>
    </w:p>
  </w:endnote>
  <w:endnote w:type="continuationSeparator" w:id="0">
    <w:p w14:paraId="2DE07EA4" w14:textId="77777777" w:rsidR="00CE1B83" w:rsidRDefault="00CE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2CF226F" w:rsidR="00C716D5" w:rsidRDefault="00C716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1A6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1A6A">
      <w:rPr>
        <w:rStyle w:val="PageNumber"/>
      </w:rPr>
      <w:t>4</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3D0261">
      <w:rPr>
        <w:rStyle w:val="PageNumber"/>
      </w:rPr>
      <w:t>2015-09-25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E632B" w14:textId="77777777" w:rsidR="00CE1B83" w:rsidRDefault="00CE1B83">
      <w:r>
        <w:separator/>
      </w:r>
    </w:p>
  </w:footnote>
  <w:footnote w:type="continuationSeparator" w:id="0">
    <w:p w14:paraId="238264C2" w14:textId="77777777" w:rsidR="00CE1B83" w:rsidRDefault="00CE1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C716D5" w:rsidRDefault="00C716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660972"/>
    <w:multiLevelType w:val="multilevel"/>
    <w:tmpl w:val="0D94602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45391"/>
    <w:multiLevelType w:val="hybridMultilevel"/>
    <w:tmpl w:val="2F10F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360F6"/>
    <w:multiLevelType w:val="hybridMultilevel"/>
    <w:tmpl w:val="02EC71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AE1CD0"/>
    <w:multiLevelType w:val="hybridMultilevel"/>
    <w:tmpl w:val="2EA02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5"/>
  </w:num>
  <w:num w:numId="4">
    <w:abstractNumId w:val="16"/>
  </w:num>
  <w:num w:numId="5">
    <w:abstractNumId w:val="11"/>
  </w:num>
  <w:num w:numId="6">
    <w:abstractNumId w:val="19"/>
  </w:num>
  <w:num w:numId="7">
    <w:abstractNumId w:val="27"/>
  </w:num>
  <w:num w:numId="8">
    <w:abstractNumId w:val="12"/>
  </w:num>
  <w:num w:numId="9">
    <w:abstractNumId w:val="37"/>
  </w:num>
  <w:num w:numId="10">
    <w:abstractNumId w:val="31"/>
  </w:num>
  <w:num w:numId="11">
    <w:abstractNumId w:val="38"/>
  </w:num>
  <w:num w:numId="12">
    <w:abstractNumId w:val="6"/>
  </w:num>
  <w:num w:numId="13">
    <w:abstractNumId w:val="8"/>
  </w:num>
  <w:num w:numId="14">
    <w:abstractNumId w:val="18"/>
  </w:num>
  <w:num w:numId="15">
    <w:abstractNumId w:val="32"/>
  </w:num>
  <w:num w:numId="16">
    <w:abstractNumId w:val="7"/>
  </w:num>
  <w:num w:numId="17">
    <w:abstractNumId w:val="3"/>
  </w:num>
  <w:num w:numId="18">
    <w:abstractNumId w:val="10"/>
  </w:num>
  <w:num w:numId="19">
    <w:abstractNumId w:val="28"/>
  </w:num>
  <w:num w:numId="20">
    <w:abstractNumId w:val="21"/>
  </w:num>
  <w:num w:numId="21">
    <w:abstractNumId w:val="24"/>
  </w:num>
  <w:num w:numId="22">
    <w:abstractNumId w:val="34"/>
  </w:num>
  <w:num w:numId="23">
    <w:abstractNumId w:val="5"/>
  </w:num>
  <w:num w:numId="24">
    <w:abstractNumId w:val="33"/>
  </w:num>
  <w:num w:numId="25">
    <w:abstractNumId w:val="39"/>
  </w:num>
  <w:num w:numId="26">
    <w:abstractNumId w:val="17"/>
  </w:num>
  <w:num w:numId="27">
    <w:abstractNumId w:val="35"/>
  </w:num>
  <w:num w:numId="28">
    <w:abstractNumId w:val="23"/>
  </w:num>
  <w:num w:numId="29">
    <w:abstractNumId w:val="1"/>
  </w:num>
  <w:num w:numId="30">
    <w:abstractNumId w:val="1"/>
  </w:num>
  <w:num w:numId="31">
    <w:abstractNumId w:val="30"/>
  </w:num>
  <w:num w:numId="32">
    <w:abstractNumId w:val="20"/>
  </w:num>
  <w:num w:numId="33">
    <w:abstractNumId w:val="9"/>
  </w:num>
  <w:num w:numId="34">
    <w:abstractNumId w:val="40"/>
  </w:num>
  <w:num w:numId="35">
    <w:abstractNumId w:val="36"/>
  </w:num>
  <w:num w:numId="36">
    <w:abstractNumId w:val="0"/>
  </w:num>
  <w:num w:numId="37">
    <w:abstractNumId w:val="22"/>
  </w:num>
  <w:num w:numId="38">
    <w:abstractNumId w:val="25"/>
  </w:num>
  <w:num w:numId="39">
    <w:abstractNumId w:val="14"/>
  </w:num>
  <w:num w:numId="40">
    <w:abstractNumId w:val="13"/>
  </w:num>
  <w:num w:numId="41">
    <w:abstractNumId w:val="4"/>
  </w:num>
  <w:num w:numId="42">
    <w:abstractNumId w:val="29"/>
  </w:num>
  <w:num w:numId="43">
    <w:abstractNumId w:val="26"/>
  </w:num>
  <w:num w:numId="44">
    <w:abstractNumId w:val="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1EF2"/>
    <w:rsid w:val="000422E2"/>
    <w:rsid w:val="00042F22"/>
    <w:rsid w:val="000437FA"/>
    <w:rsid w:val="00043DDF"/>
    <w:rsid w:val="00044278"/>
    <w:rsid w:val="000444EF"/>
    <w:rsid w:val="00044A9C"/>
    <w:rsid w:val="000455AE"/>
    <w:rsid w:val="00045651"/>
    <w:rsid w:val="00045735"/>
    <w:rsid w:val="00045AD3"/>
    <w:rsid w:val="00050717"/>
    <w:rsid w:val="000511FA"/>
    <w:rsid w:val="00051D9E"/>
    <w:rsid w:val="00052A07"/>
    <w:rsid w:val="000534E3"/>
    <w:rsid w:val="00053756"/>
    <w:rsid w:val="00053C47"/>
    <w:rsid w:val="00054303"/>
    <w:rsid w:val="00054EE4"/>
    <w:rsid w:val="00055378"/>
    <w:rsid w:val="00055DB2"/>
    <w:rsid w:val="0005606A"/>
    <w:rsid w:val="00056718"/>
    <w:rsid w:val="00056A67"/>
    <w:rsid w:val="00056B0B"/>
    <w:rsid w:val="00056FD0"/>
    <w:rsid w:val="00057117"/>
    <w:rsid w:val="000571B8"/>
    <w:rsid w:val="0005757D"/>
    <w:rsid w:val="000604BA"/>
    <w:rsid w:val="000604D2"/>
    <w:rsid w:val="000616E7"/>
    <w:rsid w:val="00061829"/>
    <w:rsid w:val="000625C8"/>
    <w:rsid w:val="00063EF3"/>
    <w:rsid w:val="000641AA"/>
    <w:rsid w:val="000645B8"/>
    <w:rsid w:val="0006487E"/>
    <w:rsid w:val="00065E1A"/>
    <w:rsid w:val="00065F7E"/>
    <w:rsid w:val="000701C4"/>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11A"/>
    <w:rsid w:val="000A56F2"/>
    <w:rsid w:val="000A5E3B"/>
    <w:rsid w:val="000A7DC3"/>
    <w:rsid w:val="000B0223"/>
    <w:rsid w:val="000B02A2"/>
    <w:rsid w:val="000B0A01"/>
    <w:rsid w:val="000B2719"/>
    <w:rsid w:val="000B3347"/>
    <w:rsid w:val="000B3516"/>
    <w:rsid w:val="000B3A8F"/>
    <w:rsid w:val="000B4AB9"/>
    <w:rsid w:val="000B58C3"/>
    <w:rsid w:val="000B5DDC"/>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085"/>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3C4B"/>
    <w:rsid w:val="001048B7"/>
    <w:rsid w:val="00104A7C"/>
    <w:rsid w:val="00106117"/>
    <w:rsid w:val="001062FB"/>
    <w:rsid w:val="001063E6"/>
    <w:rsid w:val="00106B59"/>
    <w:rsid w:val="001070B9"/>
    <w:rsid w:val="0011092E"/>
    <w:rsid w:val="0011224B"/>
    <w:rsid w:val="0011260F"/>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0AD"/>
    <w:rsid w:val="00132FD0"/>
    <w:rsid w:val="001330B8"/>
    <w:rsid w:val="00133676"/>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576"/>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4A0"/>
    <w:rsid w:val="001735B9"/>
    <w:rsid w:val="00173A8E"/>
    <w:rsid w:val="0017437B"/>
    <w:rsid w:val="001747A2"/>
    <w:rsid w:val="00174FE7"/>
    <w:rsid w:val="001750CB"/>
    <w:rsid w:val="00175A10"/>
    <w:rsid w:val="00175A7C"/>
    <w:rsid w:val="001762DB"/>
    <w:rsid w:val="00176E09"/>
    <w:rsid w:val="00176E1A"/>
    <w:rsid w:val="00176FB5"/>
    <w:rsid w:val="00177553"/>
    <w:rsid w:val="00177D5C"/>
    <w:rsid w:val="00180304"/>
    <w:rsid w:val="0018143F"/>
    <w:rsid w:val="00181D12"/>
    <w:rsid w:val="001833D1"/>
    <w:rsid w:val="001833FB"/>
    <w:rsid w:val="001846F2"/>
    <w:rsid w:val="00185251"/>
    <w:rsid w:val="001856D0"/>
    <w:rsid w:val="00187149"/>
    <w:rsid w:val="00187FF9"/>
    <w:rsid w:val="00190AC1"/>
    <w:rsid w:val="001921DE"/>
    <w:rsid w:val="0019274F"/>
    <w:rsid w:val="00192D14"/>
    <w:rsid w:val="0019341A"/>
    <w:rsid w:val="0019468F"/>
    <w:rsid w:val="00194E68"/>
    <w:rsid w:val="00195B6F"/>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3D9"/>
    <w:rsid w:val="00203A34"/>
    <w:rsid w:val="00203F96"/>
    <w:rsid w:val="002041BF"/>
    <w:rsid w:val="00204831"/>
    <w:rsid w:val="00204E32"/>
    <w:rsid w:val="002050C4"/>
    <w:rsid w:val="0020640E"/>
    <w:rsid w:val="002069B2"/>
    <w:rsid w:val="00207FA3"/>
    <w:rsid w:val="002111FD"/>
    <w:rsid w:val="00211736"/>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54B"/>
    <w:rsid w:val="00220600"/>
    <w:rsid w:val="002206E3"/>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304"/>
    <w:rsid w:val="00231470"/>
    <w:rsid w:val="0023156D"/>
    <w:rsid w:val="002319E4"/>
    <w:rsid w:val="002320DA"/>
    <w:rsid w:val="00233E89"/>
    <w:rsid w:val="00233EA1"/>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1B"/>
    <w:rsid w:val="00273D70"/>
    <w:rsid w:val="00273E84"/>
    <w:rsid w:val="00274BB8"/>
    <w:rsid w:val="00274C41"/>
    <w:rsid w:val="00274DFF"/>
    <w:rsid w:val="00276081"/>
    <w:rsid w:val="00276B67"/>
    <w:rsid w:val="00277097"/>
    <w:rsid w:val="00277490"/>
    <w:rsid w:val="002805F5"/>
    <w:rsid w:val="00280751"/>
    <w:rsid w:val="00280E8F"/>
    <w:rsid w:val="00281566"/>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3ECB"/>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1486"/>
    <w:rsid w:val="002B24D6"/>
    <w:rsid w:val="002B2C00"/>
    <w:rsid w:val="002B386B"/>
    <w:rsid w:val="002B3B0D"/>
    <w:rsid w:val="002B3FE9"/>
    <w:rsid w:val="002B632B"/>
    <w:rsid w:val="002B6D00"/>
    <w:rsid w:val="002B77BF"/>
    <w:rsid w:val="002C0976"/>
    <w:rsid w:val="002C151A"/>
    <w:rsid w:val="002C2995"/>
    <w:rsid w:val="002C38A5"/>
    <w:rsid w:val="002C3FD2"/>
    <w:rsid w:val="002C400F"/>
    <w:rsid w:val="002C41E6"/>
    <w:rsid w:val="002C4435"/>
    <w:rsid w:val="002C4558"/>
    <w:rsid w:val="002C62B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5F5"/>
    <w:rsid w:val="00301CE6"/>
    <w:rsid w:val="00302569"/>
    <w:rsid w:val="0030256B"/>
    <w:rsid w:val="00302D11"/>
    <w:rsid w:val="003038EC"/>
    <w:rsid w:val="003042DF"/>
    <w:rsid w:val="0030501F"/>
    <w:rsid w:val="00305180"/>
    <w:rsid w:val="00305444"/>
    <w:rsid w:val="00307A45"/>
    <w:rsid w:val="00307BA1"/>
    <w:rsid w:val="00310CB8"/>
    <w:rsid w:val="00311702"/>
    <w:rsid w:val="00311747"/>
    <w:rsid w:val="00311E82"/>
    <w:rsid w:val="003124BA"/>
    <w:rsid w:val="00313DF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60F"/>
    <w:rsid w:val="00374F8B"/>
    <w:rsid w:val="00375719"/>
    <w:rsid w:val="0037683A"/>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B15"/>
    <w:rsid w:val="003D0261"/>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7EE"/>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495"/>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5593"/>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BC4"/>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0DC"/>
    <w:rsid w:val="004B1CFE"/>
    <w:rsid w:val="004B1DB8"/>
    <w:rsid w:val="004B2F6C"/>
    <w:rsid w:val="004B4459"/>
    <w:rsid w:val="004B44CE"/>
    <w:rsid w:val="004B74E1"/>
    <w:rsid w:val="004B7967"/>
    <w:rsid w:val="004B7C0C"/>
    <w:rsid w:val="004C0211"/>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445"/>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3C54"/>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2C05"/>
    <w:rsid w:val="005234AA"/>
    <w:rsid w:val="005251B0"/>
    <w:rsid w:val="00525A40"/>
    <w:rsid w:val="0052606D"/>
    <w:rsid w:val="00527D68"/>
    <w:rsid w:val="00530D7E"/>
    <w:rsid w:val="00532A25"/>
    <w:rsid w:val="00533C5F"/>
    <w:rsid w:val="00534AE0"/>
    <w:rsid w:val="00534B59"/>
    <w:rsid w:val="00534D24"/>
    <w:rsid w:val="00535499"/>
    <w:rsid w:val="00535666"/>
    <w:rsid w:val="00536759"/>
    <w:rsid w:val="00536B97"/>
    <w:rsid w:val="00536DF7"/>
    <w:rsid w:val="00536F86"/>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04F"/>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6E1D"/>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33B1"/>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1E34"/>
    <w:rsid w:val="005C2555"/>
    <w:rsid w:val="005C433B"/>
    <w:rsid w:val="005C61AC"/>
    <w:rsid w:val="005C65B6"/>
    <w:rsid w:val="005C6E03"/>
    <w:rsid w:val="005C74FB"/>
    <w:rsid w:val="005C76FB"/>
    <w:rsid w:val="005D030D"/>
    <w:rsid w:val="005D074B"/>
    <w:rsid w:val="005D1602"/>
    <w:rsid w:val="005D28DF"/>
    <w:rsid w:val="005D32AE"/>
    <w:rsid w:val="005D4AB0"/>
    <w:rsid w:val="005D623C"/>
    <w:rsid w:val="005D7A1B"/>
    <w:rsid w:val="005D7B61"/>
    <w:rsid w:val="005D7C82"/>
    <w:rsid w:val="005D7ED3"/>
    <w:rsid w:val="005E0C50"/>
    <w:rsid w:val="005E18FE"/>
    <w:rsid w:val="005E1BD0"/>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5A3"/>
    <w:rsid w:val="00605854"/>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03AD"/>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1717"/>
    <w:rsid w:val="00652CED"/>
    <w:rsid w:val="006533E6"/>
    <w:rsid w:val="006538FC"/>
    <w:rsid w:val="00653FB4"/>
    <w:rsid w:val="00655733"/>
    <w:rsid w:val="00655ACD"/>
    <w:rsid w:val="00655CAD"/>
    <w:rsid w:val="00656186"/>
    <w:rsid w:val="00656A92"/>
    <w:rsid w:val="00656DDE"/>
    <w:rsid w:val="00656DF3"/>
    <w:rsid w:val="0066011D"/>
    <w:rsid w:val="0066058A"/>
    <w:rsid w:val="006607C0"/>
    <w:rsid w:val="00660927"/>
    <w:rsid w:val="006613A6"/>
    <w:rsid w:val="00662694"/>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1B7"/>
    <w:rsid w:val="00684C61"/>
    <w:rsid w:val="00685EAF"/>
    <w:rsid w:val="0068608B"/>
    <w:rsid w:val="006867A6"/>
    <w:rsid w:val="006868B0"/>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D42"/>
    <w:rsid w:val="00697F2A"/>
    <w:rsid w:val="006A06B2"/>
    <w:rsid w:val="006A0E56"/>
    <w:rsid w:val="006A0ECE"/>
    <w:rsid w:val="006A325E"/>
    <w:rsid w:val="006A46FB"/>
    <w:rsid w:val="006A52D5"/>
    <w:rsid w:val="006A586C"/>
    <w:rsid w:val="006A5E28"/>
    <w:rsid w:val="006A613C"/>
    <w:rsid w:val="006A6555"/>
    <w:rsid w:val="006A697B"/>
    <w:rsid w:val="006A6F6D"/>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A6A"/>
    <w:rsid w:val="006F1B70"/>
    <w:rsid w:val="006F2504"/>
    <w:rsid w:val="006F2C88"/>
    <w:rsid w:val="006F341D"/>
    <w:rsid w:val="006F3B3A"/>
    <w:rsid w:val="006F487D"/>
    <w:rsid w:val="006F56F5"/>
    <w:rsid w:val="006F58D4"/>
    <w:rsid w:val="006F5C9A"/>
    <w:rsid w:val="006F71DC"/>
    <w:rsid w:val="006F796C"/>
    <w:rsid w:val="006F7B5A"/>
    <w:rsid w:val="006F7BC8"/>
    <w:rsid w:val="00700142"/>
    <w:rsid w:val="00700998"/>
    <w:rsid w:val="00701B46"/>
    <w:rsid w:val="00701CC8"/>
    <w:rsid w:val="00702402"/>
    <w:rsid w:val="007028CD"/>
    <w:rsid w:val="00703123"/>
    <w:rsid w:val="0070346E"/>
    <w:rsid w:val="00703660"/>
    <w:rsid w:val="00704647"/>
    <w:rsid w:val="00704736"/>
    <w:rsid w:val="00704EDB"/>
    <w:rsid w:val="00705639"/>
    <w:rsid w:val="00705BC2"/>
    <w:rsid w:val="00705F8A"/>
    <w:rsid w:val="00706101"/>
    <w:rsid w:val="0070666D"/>
    <w:rsid w:val="00706B8A"/>
    <w:rsid w:val="00706DF5"/>
    <w:rsid w:val="00706FAA"/>
    <w:rsid w:val="0070766F"/>
    <w:rsid w:val="00707ADF"/>
    <w:rsid w:val="00707D61"/>
    <w:rsid w:val="007114F1"/>
    <w:rsid w:val="007118CA"/>
    <w:rsid w:val="00711D31"/>
    <w:rsid w:val="00712287"/>
    <w:rsid w:val="00712772"/>
    <w:rsid w:val="007148D3"/>
    <w:rsid w:val="0071551B"/>
    <w:rsid w:val="00715638"/>
    <w:rsid w:val="00715A32"/>
    <w:rsid w:val="00715B9A"/>
    <w:rsid w:val="0071600C"/>
    <w:rsid w:val="007161DA"/>
    <w:rsid w:val="007163B5"/>
    <w:rsid w:val="00716C3F"/>
    <w:rsid w:val="00717413"/>
    <w:rsid w:val="00720529"/>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67CB2"/>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48D"/>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67DE"/>
    <w:rsid w:val="00797AFF"/>
    <w:rsid w:val="00797D03"/>
    <w:rsid w:val="007A0E6E"/>
    <w:rsid w:val="007A1CB3"/>
    <w:rsid w:val="007A23F2"/>
    <w:rsid w:val="007A2553"/>
    <w:rsid w:val="007A27AD"/>
    <w:rsid w:val="007A306F"/>
    <w:rsid w:val="007A43A6"/>
    <w:rsid w:val="007A537A"/>
    <w:rsid w:val="007A58A6"/>
    <w:rsid w:val="007A5EED"/>
    <w:rsid w:val="007A61D2"/>
    <w:rsid w:val="007A6261"/>
    <w:rsid w:val="007A6495"/>
    <w:rsid w:val="007A6549"/>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01B"/>
    <w:rsid w:val="007D5247"/>
    <w:rsid w:val="007D5809"/>
    <w:rsid w:val="007D5901"/>
    <w:rsid w:val="007D595B"/>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0F54"/>
    <w:rsid w:val="00801562"/>
    <w:rsid w:val="0080187F"/>
    <w:rsid w:val="0080253D"/>
    <w:rsid w:val="00802DEB"/>
    <w:rsid w:val="00803546"/>
    <w:rsid w:val="008036C5"/>
    <w:rsid w:val="00803FAE"/>
    <w:rsid w:val="008052C1"/>
    <w:rsid w:val="00805FA4"/>
    <w:rsid w:val="0080605F"/>
    <w:rsid w:val="008075B4"/>
    <w:rsid w:val="00807786"/>
    <w:rsid w:val="008101B0"/>
    <w:rsid w:val="0081032B"/>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1C6C"/>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3379"/>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86F"/>
    <w:rsid w:val="008669E1"/>
    <w:rsid w:val="00866E1D"/>
    <w:rsid w:val="00867111"/>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1D81"/>
    <w:rsid w:val="008929D6"/>
    <w:rsid w:val="00892CFF"/>
    <w:rsid w:val="0089347C"/>
    <w:rsid w:val="00894A88"/>
    <w:rsid w:val="00895310"/>
    <w:rsid w:val="00895386"/>
    <w:rsid w:val="00896985"/>
    <w:rsid w:val="008974A5"/>
    <w:rsid w:val="0089757A"/>
    <w:rsid w:val="008978C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324C"/>
    <w:rsid w:val="008B45A3"/>
    <w:rsid w:val="008B4C5D"/>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C63"/>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4FA"/>
    <w:rsid w:val="008F0A25"/>
    <w:rsid w:val="008F19BC"/>
    <w:rsid w:val="008F1EAB"/>
    <w:rsid w:val="008F33DC"/>
    <w:rsid w:val="008F37D2"/>
    <w:rsid w:val="008F4050"/>
    <w:rsid w:val="008F42EE"/>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3DC"/>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48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0454"/>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97142"/>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A75B2"/>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614"/>
    <w:rsid w:val="009F7BDB"/>
    <w:rsid w:val="009F7DAD"/>
    <w:rsid w:val="00A00254"/>
    <w:rsid w:val="00A0026D"/>
    <w:rsid w:val="00A0039D"/>
    <w:rsid w:val="00A021CA"/>
    <w:rsid w:val="00A02B54"/>
    <w:rsid w:val="00A02D6D"/>
    <w:rsid w:val="00A04232"/>
    <w:rsid w:val="00A04367"/>
    <w:rsid w:val="00A047D2"/>
    <w:rsid w:val="00A048A8"/>
    <w:rsid w:val="00A04968"/>
    <w:rsid w:val="00A04DCB"/>
    <w:rsid w:val="00A05B47"/>
    <w:rsid w:val="00A05C6D"/>
    <w:rsid w:val="00A05E70"/>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8D2"/>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95C"/>
    <w:rsid w:val="00A50E44"/>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5E98"/>
    <w:rsid w:val="00A8722D"/>
    <w:rsid w:val="00A904A1"/>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2A5"/>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CED"/>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50B9"/>
    <w:rsid w:val="00AF5BFB"/>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22F"/>
    <w:rsid w:val="00B263DB"/>
    <w:rsid w:val="00B26C1E"/>
    <w:rsid w:val="00B2763F"/>
    <w:rsid w:val="00B27AAC"/>
    <w:rsid w:val="00B27EF6"/>
    <w:rsid w:val="00B30307"/>
    <w:rsid w:val="00B30309"/>
    <w:rsid w:val="00B30462"/>
    <w:rsid w:val="00B30887"/>
    <w:rsid w:val="00B30929"/>
    <w:rsid w:val="00B30D68"/>
    <w:rsid w:val="00B318DF"/>
    <w:rsid w:val="00B31A5E"/>
    <w:rsid w:val="00B337BC"/>
    <w:rsid w:val="00B34B26"/>
    <w:rsid w:val="00B35997"/>
    <w:rsid w:val="00B36F25"/>
    <w:rsid w:val="00B36F3A"/>
    <w:rsid w:val="00B372AA"/>
    <w:rsid w:val="00B40445"/>
    <w:rsid w:val="00B41888"/>
    <w:rsid w:val="00B44A42"/>
    <w:rsid w:val="00B45A52"/>
    <w:rsid w:val="00B46016"/>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5F62"/>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9C0"/>
    <w:rsid w:val="00BA1EFD"/>
    <w:rsid w:val="00BA2280"/>
    <w:rsid w:val="00BA2A08"/>
    <w:rsid w:val="00BA4E8B"/>
    <w:rsid w:val="00BA56D2"/>
    <w:rsid w:val="00BA5729"/>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1616"/>
    <w:rsid w:val="00BC4D2E"/>
    <w:rsid w:val="00BC4E54"/>
    <w:rsid w:val="00BC53EE"/>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3A89"/>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0DF0"/>
    <w:rsid w:val="00C11633"/>
    <w:rsid w:val="00C11E79"/>
    <w:rsid w:val="00C12107"/>
    <w:rsid w:val="00C13962"/>
    <w:rsid w:val="00C14D4B"/>
    <w:rsid w:val="00C154BB"/>
    <w:rsid w:val="00C1608A"/>
    <w:rsid w:val="00C16757"/>
    <w:rsid w:val="00C17316"/>
    <w:rsid w:val="00C21EF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2A00"/>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CB8"/>
    <w:rsid w:val="00C70D2F"/>
    <w:rsid w:val="00C716D5"/>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086"/>
    <w:rsid w:val="00C93490"/>
    <w:rsid w:val="00C93BC6"/>
    <w:rsid w:val="00C93C4B"/>
    <w:rsid w:val="00C94083"/>
    <w:rsid w:val="00C944AB"/>
    <w:rsid w:val="00C9469F"/>
    <w:rsid w:val="00C952B1"/>
    <w:rsid w:val="00C958ED"/>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1B83"/>
    <w:rsid w:val="00CE277C"/>
    <w:rsid w:val="00CE292F"/>
    <w:rsid w:val="00CE2C47"/>
    <w:rsid w:val="00CE4A12"/>
    <w:rsid w:val="00CE4B16"/>
    <w:rsid w:val="00CE59DC"/>
    <w:rsid w:val="00CE5B18"/>
    <w:rsid w:val="00CE7131"/>
    <w:rsid w:val="00CE7561"/>
    <w:rsid w:val="00CE75E3"/>
    <w:rsid w:val="00CF07BD"/>
    <w:rsid w:val="00CF0924"/>
    <w:rsid w:val="00CF0C35"/>
    <w:rsid w:val="00CF11F6"/>
    <w:rsid w:val="00CF1354"/>
    <w:rsid w:val="00CF3B1F"/>
    <w:rsid w:val="00CF3BF6"/>
    <w:rsid w:val="00CF3C36"/>
    <w:rsid w:val="00CF5117"/>
    <w:rsid w:val="00CF57A9"/>
    <w:rsid w:val="00CF6172"/>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2D1"/>
    <w:rsid w:val="00D25DDA"/>
    <w:rsid w:val="00D26C60"/>
    <w:rsid w:val="00D27938"/>
    <w:rsid w:val="00D27DA6"/>
    <w:rsid w:val="00D32001"/>
    <w:rsid w:val="00D32390"/>
    <w:rsid w:val="00D324BC"/>
    <w:rsid w:val="00D32E0E"/>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B9E"/>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460D"/>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0C4E"/>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6DA3"/>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08FF"/>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8F5"/>
    <w:rsid w:val="00E419BA"/>
    <w:rsid w:val="00E41B61"/>
    <w:rsid w:val="00E421D0"/>
    <w:rsid w:val="00E422F7"/>
    <w:rsid w:val="00E4266E"/>
    <w:rsid w:val="00E427F9"/>
    <w:rsid w:val="00E43595"/>
    <w:rsid w:val="00E446F1"/>
    <w:rsid w:val="00E44802"/>
    <w:rsid w:val="00E4545A"/>
    <w:rsid w:val="00E46386"/>
    <w:rsid w:val="00E46886"/>
    <w:rsid w:val="00E47AEF"/>
    <w:rsid w:val="00E512D9"/>
    <w:rsid w:val="00E517C3"/>
    <w:rsid w:val="00E5219A"/>
    <w:rsid w:val="00E526D7"/>
    <w:rsid w:val="00E52EB2"/>
    <w:rsid w:val="00E53B75"/>
    <w:rsid w:val="00E53FBA"/>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55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85B"/>
    <w:rsid w:val="00EB3D70"/>
    <w:rsid w:val="00EB41B5"/>
    <w:rsid w:val="00EB4C35"/>
    <w:rsid w:val="00EB4EA2"/>
    <w:rsid w:val="00EB5B44"/>
    <w:rsid w:val="00EB7237"/>
    <w:rsid w:val="00EB7B69"/>
    <w:rsid w:val="00EC168A"/>
    <w:rsid w:val="00EC1DF7"/>
    <w:rsid w:val="00EC27C6"/>
    <w:rsid w:val="00EC3612"/>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D7B"/>
    <w:rsid w:val="00ED6E55"/>
    <w:rsid w:val="00ED78C9"/>
    <w:rsid w:val="00EE0F6E"/>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C61"/>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47F0A"/>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577F9"/>
    <w:rsid w:val="00F6015A"/>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3FD7"/>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119D"/>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2B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689754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315757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0756999">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6748479A-89F9-4FBE-B9F0-0BF01B71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407</TotalTime>
  <Pages>1</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25</cp:revision>
  <cp:lastPrinted>2014-08-07T20:35:00Z</cp:lastPrinted>
  <dcterms:created xsi:type="dcterms:W3CDTF">2015-09-23T14:38:00Z</dcterms:created>
  <dcterms:modified xsi:type="dcterms:W3CDTF">2015-09-25T15:12:00Z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